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r>
        <w:rPr>
          <w:sz w:val="28"/>
          <w:szCs w:val="28"/>
        </w:rPr>
        <w:t xml:space="preserve">  </w:t>
      </w:r>
      <w:r w:rsidR="008D34F1">
        <w:rPr>
          <w:sz w:val="28"/>
          <w:szCs w:val="28"/>
        </w:rPr>
        <w:t>27</w:t>
      </w:r>
      <w:r>
        <w:rPr>
          <w:sz w:val="28"/>
          <w:szCs w:val="28"/>
        </w:rPr>
        <w:t>.</w:t>
      </w:r>
      <w:r w:rsidR="00767CA3">
        <w:rPr>
          <w:sz w:val="28"/>
          <w:szCs w:val="28"/>
        </w:rPr>
        <w:t>12</w:t>
      </w:r>
      <w:r>
        <w:rPr>
          <w:sz w:val="28"/>
          <w:szCs w:val="28"/>
        </w:rPr>
        <w:t xml:space="preserve"> </w:t>
      </w:r>
      <w:r w:rsidR="00DC1AE6" w:rsidRPr="000F01C9">
        <w:rPr>
          <w:sz w:val="28"/>
          <w:szCs w:val="28"/>
        </w:rPr>
        <w:t>.</w:t>
      </w:r>
      <w:r w:rsidR="006D572C">
        <w:rPr>
          <w:sz w:val="28"/>
          <w:szCs w:val="28"/>
        </w:rPr>
        <w:t>2022</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8D34F1">
        <w:rPr>
          <w:sz w:val="28"/>
          <w:szCs w:val="28"/>
        </w:rPr>
        <w:t>221</w:t>
      </w:r>
      <w:r w:rsidR="00E41577">
        <w:rPr>
          <w:sz w:val="28"/>
          <w:szCs w:val="28"/>
        </w:rPr>
        <w:t xml:space="preserve"> </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2E2292">
        <w:rPr>
          <w:kern w:val="2"/>
          <w:sz w:val="28"/>
          <w:szCs w:val="28"/>
        </w:rPr>
        <w:t>Тарцан</w:t>
      </w:r>
      <w:proofErr w:type="spellEnd"/>
      <w:r w:rsidR="002E2292">
        <w:rPr>
          <w:kern w:val="2"/>
          <w:sz w:val="28"/>
          <w:szCs w:val="28"/>
        </w:rPr>
        <w:t xml:space="preserve">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8D34F1">
        <w:rPr>
          <w:sz w:val="28"/>
          <w:szCs w:val="28"/>
        </w:rPr>
        <w:t>27</w:t>
      </w:r>
      <w:r w:rsidR="001667EE">
        <w:rPr>
          <w:sz w:val="28"/>
          <w:szCs w:val="28"/>
        </w:rPr>
        <w:t>.12</w:t>
      </w:r>
      <w:r w:rsidR="006D572C">
        <w:rPr>
          <w:sz w:val="28"/>
          <w:szCs w:val="28"/>
        </w:rPr>
        <w:t>.2022</w:t>
      </w:r>
      <w:r w:rsidRPr="000F01C9">
        <w:rPr>
          <w:sz w:val="28"/>
          <w:szCs w:val="28"/>
        </w:rPr>
        <w:t xml:space="preserve"> </w:t>
      </w:r>
      <w:r w:rsidR="00332C18" w:rsidRPr="000F01C9">
        <w:rPr>
          <w:sz w:val="28"/>
          <w:szCs w:val="28"/>
        </w:rPr>
        <w:t xml:space="preserve"> №</w:t>
      </w:r>
      <w:r w:rsidR="008D34F1">
        <w:rPr>
          <w:sz w:val="28"/>
          <w:szCs w:val="28"/>
        </w:rPr>
        <w:t>221</w:t>
      </w:r>
      <w:r w:rsidR="002E2292">
        <w:rPr>
          <w:sz w:val="28"/>
          <w:szCs w:val="28"/>
        </w:rPr>
        <w:t xml:space="preserve"> </w:t>
      </w:r>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8D34F1">
              <w:rPr>
                <w:sz w:val="28"/>
                <w:szCs w:val="28"/>
              </w:rPr>
              <w:t>32496</w:t>
            </w:r>
            <w:r w:rsidR="002E2292">
              <w:rPr>
                <w:sz w:val="28"/>
                <w:szCs w:val="28"/>
              </w:rPr>
              <w:t>,5</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8D34F1">
              <w:rPr>
                <w:sz w:val="28"/>
                <w:szCs w:val="28"/>
              </w:rPr>
              <w:t>2903,9</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8D34F1">
              <w:rPr>
                <w:sz w:val="28"/>
                <w:szCs w:val="28"/>
              </w:rPr>
              <w:t>2964,1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C3747D">
              <w:rPr>
                <w:sz w:val="28"/>
                <w:szCs w:val="28"/>
              </w:rPr>
              <w:t>2315,2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87CCF">
              <w:rPr>
                <w:sz w:val="28"/>
                <w:szCs w:val="28"/>
              </w:rPr>
              <w:t>28231,9</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bookmarkStart w:id="0" w:name="_GoBack"/>
            <w:bookmarkEnd w:id="0"/>
            <w:r w:rsidR="006855A9" w:rsidRPr="00C3747D">
              <w:rPr>
                <w:sz w:val="28"/>
                <w:szCs w:val="28"/>
                <w:highlight w:val="yellow"/>
              </w:rPr>
              <w:t>30469</w:t>
            </w:r>
            <w:r w:rsidR="00ED5F8B" w:rsidRPr="00C3747D">
              <w:rPr>
                <w:sz w:val="28"/>
                <w:szCs w:val="28"/>
                <w:highlight w:val="yellow"/>
              </w:rPr>
              <w:t>,10</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3303BE">
              <w:rPr>
                <w:sz w:val="28"/>
                <w:szCs w:val="28"/>
              </w:rPr>
              <w:t>2704,8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3303BE">
              <w:rPr>
                <w:sz w:val="28"/>
                <w:szCs w:val="28"/>
              </w:rPr>
              <w:t>1886,4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3303BE">
              <w:rPr>
                <w:sz w:val="28"/>
                <w:szCs w:val="28"/>
              </w:rPr>
              <w:t>1736,0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6855A9">
              <w:rPr>
                <w:sz w:val="28"/>
                <w:szCs w:val="28"/>
              </w:rPr>
              <w:t>29724</w:t>
            </w:r>
            <w:r w:rsidR="00487CCF">
              <w:rPr>
                <w:sz w:val="28"/>
                <w:szCs w:val="28"/>
              </w:rPr>
              <w:t xml:space="preserve">,5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условий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lastRenderedPageBreak/>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w:t>
      </w:r>
      <w:r w:rsidRPr="000F01C9">
        <w:rPr>
          <w:sz w:val="28"/>
          <w:szCs w:val="28"/>
        </w:rPr>
        <w:lastRenderedPageBreak/>
        <w:t>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w:t>
            </w:r>
            <w:r w:rsidRPr="00874FEC">
              <w:rPr>
                <w:sz w:val="16"/>
                <w:szCs w:val="16"/>
              </w:rPr>
              <w:t>е</w:t>
            </w:r>
            <w:r w:rsidRPr="00874FEC">
              <w:rPr>
                <w:sz w:val="16"/>
                <w:szCs w:val="16"/>
              </w:rPr>
              <w:t>ственными ж</w:t>
            </w:r>
            <w:r w:rsidRPr="00874FEC">
              <w:rPr>
                <w:sz w:val="16"/>
                <w:szCs w:val="16"/>
              </w:rPr>
              <w:t>и</w:t>
            </w:r>
            <w:r w:rsidRPr="00874FEC">
              <w:rPr>
                <w:sz w:val="16"/>
                <w:szCs w:val="16"/>
              </w:rPr>
              <w:t>лищно-коммунальными услугами насел</w:t>
            </w:r>
            <w:r w:rsidRPr="00874FEC">
              <w:rPr>
                <w:sz w:val="16"/>
                <w:szCs w:val="16"/>
              </w:rPr>
              <w:t>е</w:t>
            </w:r>
            <w:r w:rsidRPr="00874FEC">
              <w:rPr>
                <w:sz w:val="16"/>
                <w:szCs w:val="16"/>
              </w:rPr>
              <w:t>ния и благ</w:t>
            </w:r>
            <w:r w:rsidRPr="00874FEC">
              <w:rPr>
                <w:sz w:val="16"/>
                <w:szCs w:val="16"/>
              </w:rPr>
              <w:t>о</w:t>
            </w:r>
            <w:r w:rsidRPr="00874FEC">
              <w:rPr>
                <w:sz w:val="16"/>
                <w:szCs w:val="16"/>
              </w:rPr>
              <w:t>устройства»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BA7650" w:rsidP="009B2DF4">
            <w:pPr>
              <w:jc w:val="center"/>
              <w:rPr>
                <w:color w:val="000000"/>
                <w:sz w:val="16"/>
                <w:szCs w:val="16"/>
              </w:rPr>
            </w:pPr>
            <w:r>
              <w:rPr>
                <w:color w:val="000000"/>
                <w:sz w:val="16"/>
                <w:szCs w:val="16"/>
              </w:rPr>
              <w:t>30591,5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BA7650" w:rsidP="009B2DF4">
            <w:pPr>
              <w:jc w:val="center"/>
              <w:rPr>
                <w:color w:val="000000"/>
                <w:sz w:val="16"/>
                <w:szCs w:val="16"/>
              </w:rPr>
            </w:pPr>
            <w:r>
              <w:rPr>
                <w:color w:val="000000"/>
                <w:sz w:val="16"/>
                <w:szCs w:val="16"/>
              </w:rPr>
              <w:t>2724,8</w:t>
            </w:r>
          </w:p>
        </w:tc>
        <w:tc>
          <w:tcPr>
            <w:tcW w:w="709" w:type="dxa"/>
            <w:vAlign w:val="center"/>
          </w:tcPr>
          <w:p w:rsidR="002D3004" w:rsidRPr="009B2DF4" w:rsidRDefault="00BA7650" w:rsidP="009B2DF4">
            <w:pPr>
              <w:jc w:val="center"/>
              <w:rPr>
                <w:color w:val="000000"/>
                <w:sz w:val="16"/>
                <w:szCs w:val="16"/>
              </w:rPr>
            </w:pPr>
            <w:r>
              <w:rPr>
                <w:color w:val="000000"/>
                <w:sz w:val="16"/>
                <w:szCs w:val="16"/>
              </w:rPr>
              <w:t>1906,4</w:t>
            </w:r>
          </w:p>
        </w:tc>
        <w:tc>
          <w:tcPr>
            <w:tcW w:w="709" w:type="dxa"/>
            <w:vAlign w:val="center"/>
          </w:tcPr>
          <w:p w:rsidR="002D3004" w:rsidRPr="009B2DF4" w:rsidRDefault="00BA7650" w:rsidP="009B2DF4">
            <w:pPr>
              <w:jc w:val="center"/>
              <w:rPr>
                <w:color w:val="000000"/>
                <w:sz w:val="16"/>
                <w:szCs w:val="16"/>
              </w:rPr>
            </w:pPr>
            <w:r>
              <w:rPr>
                <w:color w:val="000000"/>
                <w:sz w:val="16"/>
                <w:szCs w:val="16"/>
              </w:rPr>
              <w:t>1756,0</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BA7650" w:rsidP="00554B7F">
            <w:pPr>
              <w:jc w:val="center"/>
              <w:rPr>
                <w:color w:val="000000"/>
                <w:sz w:val="16"/>
                <w:szCs w:val="16"/>
              </w:rPr>
            </w:pPr>
            <w:r>
              <w:rPr>
                <w:color w:val="000000"/>
                <w:sz w:val="16"/>
                <w:szCs w:val="16"/>
              </w:rPr>
              <w:t>30591,5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BA7650" w:rsidP="009B2DF4">
            <w:pPr>
              <w:jc w:val="center"/>
              <w:rPr>
                <w:color w:val="000000"/>
                <w:sz w:val="16"/>
                <w:szCs w:val="16"/>
              </w:rPr>
            </w:pPr>
            <w:r>
              <w:rPr>
                <w:color w:val="000000"/>
                <w:sz w:val="16"/>
                <w:szCs w:val="16"/>
              </w:rPr>
              <w:t>2724,8</w:t>
            </w:r>
          </w:p>
        </w:tc>
        <w:tc>
          <w:tcPr>
            <w:tcW w:w="709" w:type="dxa"/>
            <w:vAlign w:val="center"/>
          </w:tcPr>
          <w:p w:rsidR="009B2DF4" w:rsidRPr="009B2DF4" w:rsidRDefault="00BA7650" w:rsidP="009B2DF4">
            <w:pPr>
              <w:jc w:val="center"/>
              <w:rPr>
                <w:color w:val="000000"/>
                <w:sz w:val="16"/>
                <w:szCs w:val="16"/>
              </w:rPr>
            </w:pPr>
            <w:r>
              <w:rPr>
                <w:color w:val="000000"/>
                <w:sz w:val="16"/>
                <w:szCs w:val="16"/>
              </w:rPr>
              <w:t>1906,4</w:t>
            </w:r>
          </w:p>
        </w:tc>
        <w:tc>
          <w:tcPr>
            <w:tcW w:w="709" w:type="dxa"/>
            <w:vAlign w:val="center"/>
          </w:tcPr>
          <w:p w:rsidR="009B2DF4" w:rsidRPr="00874FEC" w:rsidRDefault="00BA7650" w:rsidP="007F26B8">
            <w:pPr>
              <w:jc w:val="center"/>
              <w:rPr>
                <w:sz w:val="16"/>
                <w:szCs w:val="16"/>
              </w:rPr>
            </w:pPr>
            <w:r>
              <w:rPr>
                <w:sz w:val="16"/>
                <w:szCs w:val="16"/>
              </w:rPr>
              <w:t>1756,0</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7F26B8">
            <w:pPr>
              <w:jc w:val="center"/>
              <w:rPr>
                <w:sz w:val="16"/>
                <w:szCs w:val="16"/>
              </w:rPr>
            </w:pPr>
            <w:r>
              <w:rPr>
                <w:sz w:val="16"/>
                <w:szCs w:val="16"/>
              </w:rPr>
              <w:t>2704,8</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2D3004">
            <w:pPr>
              <w:jc w:val="center"/>
              <w:rPr>
                <w:sz w:val="16"/>
                <w:szCs w:val="16"/>
              </w:rPr>
            </w:pPr>
            <w:r>
              <w:rPr>
                <w:sz w:val="16"/>
                <w:szCs w:val="16"/>
              </w:rPr>
              <w:t>2704,8</w:t>
            </w:r>
          </w:p>
        </w:tc>
        <w:tc>
          <w:tcPr>
            <w:tcW w:w="709" w:type="dxa"/>
            <w:vAlign w:val="center"/>
          </w:tcPr>
          <w:p w:rsidR="009B2DF4" w:rsidRPr="00685B13" w:rsidRDefault="004F1C39" w:rsidP="002D3004">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15309,7</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4F1C39" w:rsidP="007F26B8">
            <w:pPr>
              <w:jc w:val="center"/>
              <w:rPr>
                <w:sz w:val="16"/>
                <w:szCs w:val="16"/>
              </w:rPr>
            </w:pPr>
            <w:r>
              <w:rPr>
                <w:sz w:val="16"/>
                <w:szCs w:val="16"/>
              </w:rPr>
              <w:t>1585,0</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7F26B8">
            <w:pPr>
              <w:jc w:val="center"/>
              <w:rPr>
                <w:sz w:val="16"/>
                <w:szCs w:val="16"/>
              </w:rPr>
            </w:pPr>
            <w:r>
              <w:rPr>
                <w:sz w:val="16"/>
                <w:szCs w:val="16"/>
              </w:rPr>
              <w:t>1106,7</w:t>
            </w:r>
          </w:p>
        </w:tc>
        <w:tc>
          <w:tcPr>
            <w:tcW w:w="709" w:type="dxa"/>
            <w:vAlign w:val="center"/>
          </w:tcPr>
          <w:p w:rsidR="009B2DF4" w:rsidRPr="00685B13" w:rsidRDefault="004F1C39" w:rsidP="007F26B8">
            <w:pPr>
              <w:jc w:val="center"/>
              <w:rPr>
                <w:sz w:val="16"/>
                <w:szCs w:val="16"/>
              </w:rPr>
            </w:pPr>
            <w:r>
              <w:rPr>
                <w:sz w:val="16"/>
                <w:szCs w:val="16"/>
              </w:rPr>
              <w:t>492,6</w:t>
            </w:r>
          </w:p>
        </w:tc>
        <w:tc>
          <w:tcPr>
            <w:tcW w:w="709" w:type="dxa"/>
            <w:vAlign w:val="center"/>
          </w:tcPr>
          <w:p w:rsidR="009B2DF4" w:rsidRPr="00685B13" w:rsidRDefault="004F1C39" w:rsidP="007F26B8">
            <w:pPr>
              <w:jc w:val="center"/>
              <w:rPr>
                <w:sz w:val="16"/>
                <w:szCs w:val="16"/>
              </w:rPr>
            </w:pPr>
            <w:r>
              <w:rPr>
                <w:sz w:val="16"/>
                <w:szCs w:val="16"/>
              </w:rPr>
              <w:t>294,7</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15309,7</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4F1C39" w:rsidP="00497EFD">
            <w:pPr>
              <w:jc w:val="center"/>
              <w:rPr>
                <w:sz w:val="16"/>
                <w:szCs w:val="16"/>
              </w:rPr>
            </w:pPr>
            <w:r>
              <w:rPr>
                <w:sz w:val="16"/>
                <w:szCs w:val="16"/>
              </w:rPr>
              <w:t>1585,0</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1106,7</w:t>
            </w:r>
          </w:p>
        </w:tc>
        <w:tc>
          <w:tcPr>
            <w:tcW w:w="709" w:type="dxa"/>
            <w:vAlign w:val="center"/>
          </w:tcPr>
          <w:p w:rsidR="009B2DF4" w:rsidRPr="00685B13" w:rsidRDefault="004F1C39" w:rsidP="00497EFD">
            <w:pPr>
              <w:jc w:val="center"/>
              <w:rPr>
                <w:sz w:val="16"/>
                <w:szCs w:val="16"/>
              </w:rPr>
            </w:pPr>
            <w:r>
              <w:rPr>
                <w:sz w:val="16"/>
                <w:szCs w:val="16"/>
              </w:rPr>
              <w:t>492,6</w:t>
            </w:r>
          </w:p>
        </w:tc>
        <w:tc>
          <w:tcPr>
            <w:tcW w:w="709" w:type="dxa"/>
            <w:vAlign w:val="center"/>
          </w:tcPr>
          <w:p w:rsidR="009B2DF4" w:rsidRPr="00685B13" w:rsidRDefault="004F1C39" w:rsidP="00497EFD">
            <w:pPr>
              <w:jc w:val="center"/>
              <w:rPr>
                <w:sz w:val="16"/>
                <w:szCs w:val="16"/>
              </w:rPr>
            </w:pPr>
            <w:r>
              <w:rPr>
                <w:sz w:val="16"/>
                <w:szCs w:val="16"/>
              </w:rPr>
              <w:t>294,7</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Налоги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w:t>
            </w:r>
            <w:r w:rsidRPr="00874FEC">
              <w:rPr>
                <w:color w:val="000000"/>
                <w:sz w:val="22"/>
                <w:szCs w:val="22"/>
              </w:rPr>
              <w:t>о</w:t>
            </w:r>
            <w:r w:rsidRPr="00874FEC">
              <w:rPr>
                <w:color w:val="000000"/>
                <w:sz w:val="22"/>
                <w:szCs w:val="22"/>
              </w:rPr>
              <w:t>устройство»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E16CBB" w:rsidP="00FF7B40">
            <w:pPr>
              <w:jc w:val="center"/>
              <w:rPr>
                <w:color w:val="000000"/>
                <w:sz w:val="22"/>
                <w:szCs w:val="22"/>
              </w:rPr>
            </w:pPr>
            <w:r>
              <w:rPr>
                <w:color w:val="000000"/>
                <w:sz w:val="22"/>
                <w:szCs w:val="22"/>
              </w:rPr>
              <w:t>30591,5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1906,4</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1756,0</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E16CBB" w:rsidP="00603CFA">
            <w:pPr>
              <w:jc w:val="center"/>
              <w:rPr>
                <w:color w:val="000000"/>
                <w:sz w:val="22"/>
                <w:szCs w:val="22"/>
              </w:rPr>
            </w:pPr>
            <w:r>
              <w:rPr>
                <w:color w:val="000000"/>
                <w:sz w:val="22"/>
                <w:szCs w:val="22"/>
              </w:rPr>
              <w:t>29846,9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497EFD">
            <w:pPr>
              <w:jc w:val="center"/>
              <w:rPr>
                <w:sz w:val="22"/>
                <w:szCs w:val="22"/>
              </w:rPr>
            </w:pPr>
            <w:r>
              <w:rPr>
                <w:sz w:val="22"/>
                <w:szCs w:val="22"/>
              </w:rPr>
              <w:t>1906,4</w:t>
            </w:r>
          </w:p>
        </w:tc>
        <w:tc>
          <w:tcPr>
            <w:tcW w:w="876" w:type="dxa"/>
            <w:shd w:val="clear" w:color="auto" w:fill="auto"/>
            <w:vAlign w:val="center"/>
          </w:tcPr>
          <w:p w:rsidR="009B2DF4" w:rsidRPr="009B2DF4" w:rsidRDefault="00E16CBB" w:rsidP="00497EFD">
            <w:pPr>
              <w:jc w:val="center"/>
              <w:rPr>
                <w:sz w:val="22"/>
                <w:szCs w:val="22"/>
              </w:rPr>
            </w:pPr>
            <w:r>
              <w:rPr>
                <w:sz w:val="22"/>
                <w:szCs w:val="22"/>
              </w:rPr>
              <w:t>1756,0</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w:t>
            </w:r>
            <w:r w:rsidRPr="00874FEC">
              <w:rPr>
                <w:sz w:val="22"/>
                <w:szCs w:val="22"/>
              </w:rPr>
              <w:t>й</w:t>
            </w:r>
            <w:r w:rsidRPr="00874FEC">
              <w:rPr>
                <w:sz w:val="22"/>
                <w:szCs w:val="22"/>
              </w:rPr>
              <w:t>ство»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A35E3" w:rsidP="00FF7B40">
            <w:pPr>
              <w:jc w:val="center"/>
              <w:rPr>
                <w:sz w:val="22"/>
                <w:szCs w:val="22"/>
              </w:rPr>
            </w:pPr>
            <w:r>
              <w:rPr>
                <w:sz w:val="22"/>
                <w:szCs w:val="22"/>
              </w:rPr>
              <w:t>30360,1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FF7B40">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CA35E3" w:rsidP="00E16CBB">
            <w:pPr>
              <w:rPr>
                <w:sz w:val="22"/>
                <w:szCs w:val="22"/>
              </w:rPr>
            </w:pPr>
            <w:r>
              <w:rPr>
                <w:sz w:val="22"/>
                <w:szCs w:val="22"/>
              </w:rPr>
              <w:t>29615,5</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885D21">
      <w:pPr>
        <w:tabs>
          <w:tab w:val="right" w:pos="14570"/>
        </w:tabs>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CB" w:rsidRDefault="004C74CB">
      <w:r>
        <w:separator/>
      </w:r>
    </w:p>
  </w:endnote>
  <w:endnote w:type="continuationSeparator" w:id="0">
    <w:p w:rsidR="004C74CB" w:rsidRDefault="004C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855A9" w:rsidRDefault="006855A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pPr>
      <w:pStyle w:val="a7"/>
      <w:jc w:val="right"/>
    </w:pPr>
  </w:p>
  <w:p w:rsidR="006855A9" w:rsidRPr="00195FBC" w:rsidRDefault="006855A9"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855A9" w:rsidRDefault="006855A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CB" w:rsidRDefault="004C74CB">
      <w:r>
        <w:separator/>
      </w:r>
    </w:p>
  </w:footnote>
  <w:footnote w:type="continuationSeparator" w:id="0">
    <w:p w:rsidR="004C74CB" w:rsidRDefault="004C7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C74CB"/>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6C2C"/>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34F1"/>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3747D"/>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6221"/>
    <w:rsid w:val="00CA6550"/>
    <w:rsid w:val="00CA68E1"/>
    <w:rsid w:val="00CB13AC"/>
    <w:rsid w:val="00CB1402"/>
    <w:rsid w:val="00CB1AA4"/>
    <w:rsid w:val="00CB22E0"/>
    <w:rsid w:val="00CB26C7"/>
    <w:rsid w:val="00CB26E4"/>
    <w:rsid w:val="00CB3A7A"/>
    <w:rsid w:val="00CB488C"/>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3646-7E83-4DE7-BC6F-63F49405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4619</Words>
  <Characters>26330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30</cp:revision>
  <cp:lastPrinted>2023-01-07T12:33:00Z</cp:lastPrinted>
  <dcterms:created xsi:type="dcterms:W3CDTF">2021-12-28T12:08:00Z</dcterms:created>
  <dcterms:modified xsi:type="dcterms:W3CDTF">2023-01-07T12:44:00Z</dcterms:modified>
</cp:coreProperties>
</file>