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bookmarkStart w:id="0" w:name="_GoBack"/>
      <w:bookmarkEnd w:id="0"/>
      <w:r>
        <w:rPr>
          <w:sz w:val="28"/>
          <w:szCs w:val="28"/>
        </w:rPr>
        <w:t xml:space="preserve">  </w:t>
      </w:r>
      <w:r w:rsidR="001667EE">
        <w:rPr>
          <w:sz w:val="28"/>
          <w:szCs w:val="28"/>
        </w:rPr>
        <w:t>01</w:t>
      </w:r>
      <w:r>
        <w:rPr>
          <w:sz w:val="28"/>
          <w:szCs w:val="28"/>
        </w:rPr>
        <w:t>.</w:t>
      </w:r>
      <w:r w:rsidR="00767CA3">
        <w:rPr>
          <w:sz w:val="28"/>
          <w:szCs w:val="28"/>
        </w:rPr>
        <w:t>12</w:t>
      </w:r>
      <w:r>
        <w:rPr>
          <w:sz w:val="28"/>
          <w:szCs w:val="28"/>
        </w:rPr>
        <w:t xml:space="preserve"> </w:t>
      </w:r>
      <w:r w:rsidR="00DC1AE6" w:rsidRPr="000F01C9">
        <w:rPr>
          <w:sz w:val="28"/>
          <w:szCs w:val="28"/>
        </w:rPr>
        <w:t>.</w:t>
      </w:r>
      <w:r w:rsidR="006D572C">
        <w:rPr>
          <w:sz w:val="28"/>
          <w:szCs w:val="28"/>
        </w:rPr>
        <w:t>2022</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1667EE">
        <w:rPr>
          <w:sz w:val="28"/>
          <w:szCs w:val="28"/>
        </w:rPr>
        <w:t>202</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1667EE">
        <w:rPr>
          <w:sz w:val="28"/>
          <w:szCs w:val="28"/>
        </w:rPr>
        <w:t>01.12</w:t>
      </w:r>
      <w:r w:rsidR="006D572C">
        <w:rPr>
          <w:sz w:val="28"/>
          <w:szCs w:val="28"/>
        </w:rPr>
        <w:t>.2022</w:t>
      </w:r>
      <w:r w:rsidRPr="000F01C9">
        <w:rPr>
          <w:sz w:val="28"/>
          <w:szCs w:val="28"/>
        </w:rPr>
        <w:t xml:space="preserve"> </w:t>
      </w:r>
      <w:r w:rsidR="00332C18" w:rsidRPr="000F01C9">
        <w:rPr>
          <w:sz w:val="28"/>
          <w:szCs w:val="28"/>
        </w:rPr>
        <w:t xml:space="preserve"> №</w:t>
      </w:r>
      <w:r w:rsidR="001667EE">
        <w:rPr>
          <w:sz w:val="28"/>
          <w:szCs w:val="28"/>
        </w:rPr>
        <w:t>202</w:t>
      </w:r>
      <w:r w:rsidR="002E2292">
        <w:rPr>
          <w:sz w:val="28"/>
          <w:szCs w:val="28"/>
        </w:rPr>
        <w:t xml:space="preserve"> </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6855A9">
              <w:rPr>
                <w:sz w:val="28"/>
                <w:szCs w:val="28"/>
              </w:rPr>
              <w:t>30700</w:t>
            </w:r>
            <w:r w:rsidR="002E2292">
              <w:rPr>
                <w:sz w:val="28"/>
                <w:szCs w:val="28"/>
              </w:rPr>
              <w:t>,5</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2E2292">
              <w:rPr>
                <w:sz w:val="28"/>
                <w:szCs w:val="28"/>
              </w:rPr>
              <w:t>2724,8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2E2292">
              <w:rPr>
                <w:sz w:val="28"/>
                <w:szCs w:val="28"/>
              </w:rPr>
              <w:t>1906,4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2E2292">
              <w:rPr>
                <w:sz w:val="28"/>
                <w:szCs w:val="28"/>
              </w:rPr>
              <w:t>1756,0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87CCF">
              <w:rPr>
                <w:sz w:val="28"/>
                <w:szCs w:val="28"/>
              </w:rPr>
              <w:t>28231,9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6855A9">
              <w:rPr>
                <w:sz w:val="28"/>
                <w:szCs w:val="28"/>
              </w:rPr>
              <w:t>30469</w:t>
            </w:r>
            <w:r w:rsidR="00ED5F8B">
              <w:rPr>
                <w:sz w:val="28"/>
                <w:szCs w:val="28"/>
              </w:rPr>
              <w:t>,10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3303BE">
              <w:rPr>
                <w:sz w:val="28"/>
                <w:szCs w:val="28"/>
              </w:rPr>
              <w:t>2704,8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3303BE">
              <w:rPr>
                <w:sz w:val="28"/>
                <w:szCs w:val="28"/>
              </w:rPr>
              <w:t>1886,4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3303BE">
              <w:rPr>
                <w:sz w:val="28"/>
                <w:szCs w:val="28"/>
              </w:rPr>
              <w:t>1736,0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6855A9">
              <w:rPr>
                <w:sz w:val="28"/>
                <w:szCs w:val="28"/>
              </w:rPr>
              <w:t>29724</w:t>
            </w:r>
            <w:r w:rsidR="00487CCF">
              <w:rPr>
                <w:sz w:val="28"/>
                <w:szCs w:val="28"/>
              </w:rPr>
              <w:t xml:space="preserve">,5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BA7650" w:rsidP="009B2DF4">
            <w:pPr>
              <w:jc w:val="center"/>
              <w:rPr>
                <w:color w:val="000000"/>
                <w:sz w:val="16"/>
                <w:szCs w:val="16"/>
              </w:rPr>
            </w:pPr>
            <w:r>
              <w:rPr>
                <w:color w:val="000000"/>
                <w:sz w:val="16"/>
                <w:szCs w:val="16"/>
              </w:rPr>
              <w:t>30591,5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BA7650" w:rsidP="009B2DF4">
            <w:pPr>
              <w:jc w:val="center"/>
              <w:rPr>
                <w:color w:val="000000"/>
                <w:sz w:val="16"/>
                <w:szCs w:val="16"/>
              </w:rPr>
            </w:pPr>
            <w:r>
              <w:rPr>
                <w:color w:val="000000"/>
                <w:sz w:val="16"/>
                <w:szCs w:val="16"/>
              </w:rPr>
              <w:t>2724,8</w:t>
            </w:r>
          </w:p>
        </w:tc>
        <w:tc>
          <w:tcPr>
            <w:tcW w:w="709" w:type="dxa"/>
            <w:vAlign w:val="center"/>
          </w:tcPr>
          <w:p w:rsidR="002D3004" w:rsidRPr="009B2DF4" w:rsidRDefault="00BA7650" w:rsidP="009B2DF4">
            <w:pPr>
              <w:jc w:val="center"/>
              <w:rPr>
                <w:color w:val="000000"/>
                <w:sz w:val="16"/>
                <w:szCs w:val="16"/>
              </w:rPr>
            </w:pPr>
            <w:r>
              <w:rPr>
                <w:color w:val="000000"/>
                <w:sz w:val="16"/>
                <w:szCs w:val="16"/>
              </w:rPr>
              <w:t>1906,4</w:t>
            </w:r>
          </w:p>
        </w:tc>
        <w:tc>
          <w:tcPr>
            <w:tcW w:w="709" w:type="dxa"/>
            <w:vAlign w:val="center"/>
          </w:tcPr>
          <w:p w:rsidR="002D3004" w:rsidRPr="009B2DF4" w:rsidRDefault="00BA7650" w:rsidP="009B2DF4">
            <w:pPr>
              <w:jc w:val="center"/>
              <w:rPr>
                <w:color w:val="000000"/>
                <w:sz w:val="16"/>
                <w:szCs w:val="16"/>
              </w:rPr>
            </w:pPr>
            <w:r>
              <w:rPr>
                <w:color w:val="000000"/>
                <w:sz w:val="16"/>
                <w:szCs w:val="16"/>
              </w:rPr>
              <w:t>1756,0</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BA7650" w:rsidP="00554B7F">
            <w:pPr>
              <w:jc w:val="center"/>
              <w:rPr>
                <w:color w:val="000000"/>
                <w:sz w:val="16"/>
                <w:szCs w:val="16"/>
              </w:rPr>
            </w:pPr>
            <w:r>
              <w:rPr>
                <w:color w:val="000000"/>
                <w:sz w:val="16"/>
                <w:szCs w:val="16"/>
              </w:rPr>
              <w:t>30591,5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BA7650" w:rsidP="009B2DF4">
            <w:pPr>
              <w:jc w:val="center"/>
              <w:rPr>
                <w:color w:val="000000"/>
                <w:sz w:val="16"/>
                <w:szCs w:val="16"/>
              </w:rPr>
            </w:pPr>
            <w:r>
              <w:rPr>
                <w:color w:val="000000"/>
                <w:sz w:val="16"/>
                <w:szCs w:val="16"/>
              </w:rPr>
              <w:t>2724,8</w:t>
            </w:r>
          </w:p>
        </w:tc>
        <w:tc>
          <w:tcPr>
            <w:tcW w:w="709" w:type="dxa"/>
            <w:vAlign w:val="center"/>
          </w:tcPr>
          <w:p w:rsidR="009B2DF4" w:rsidRPr="009B2DF4" w:rsidRDefault="00BA7650" w:rsidP="009B2DF4">
            <w:pPr>
              <w:jc w:val="center"/>
              <w:rPr>
                <w:color w:val="000000"/>
                <w:sz w:val="16"/>
                <w:szCs w:val="16"/>
              </w:rPr>
            </w:pPr>
            <w:r>
              <w:rPr>
                <w:color w:val="000000"/>
                <w:sz w:val="16"/>
                <w:szCs w:val="16"/>
              </w:rPr>
              <w:t>1906,4</w:t>
            </w:r>
          </w:p>
        </w:tc>
        <w:tc>
          <w:tcPr>
            <w:tcW w:w="709" w:type="dxa"/>
            <w:vAlign w:val="center"/>
          </w:tcPr>
          <w:p w:rsidR="009B2DF4" w:rsidRPr="00874FEC" w:rsidRDefault="00BA7650" w:rsidP="007F26B8">
            <w:pPr>
              <w:jc w:val="center"/>
              <w:rPr>
                <w:sz w:val="16"/>
                <w:szCs w:val="16"/>
              </w:rPr>
            </w:pPr>
            <w:r>
              <w:rPr>
                <w:sz w:val="16"/>
                <w:szCs w:val="16"/>
              </w:rPr>
              <w:t>1756,0</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7F26B8">
            <w:pPr>
              <w:jc w:val="center"/>
              <w:rPr>
                <w:sz w:val="16"/>
                <w:szCs w:val="16"/>
              </w:rPr>
            </w:pPr>
            <w:r>
              <w:rPr>
                <w:sz w:val="16"/>
                <w:szCs w:val="16"/>
              </w:rPr>
              <w:t>2704,8</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2D3004">
            <w:pPr>
              <w:jc w:val="center"/>
              <w:rPr>
                <w:sz w:val="16"/>
                <w:szCs w:val="16"/>
              </w:rPr>
            </w:pPr>
            <w:r>
              <w:rPr>
                <w:sz w:val="16"/>
                <w:szCs w:val="16"/>
              </w:rPr>
              <w:t>2704,8</w:t>
            </w:r>
          </w:p>
        </w:tc>
        <w:tc>
          <w:tcPr>
            <w:tcW w:w="709" w:type="dxa"/>
            <w:vAlign w:val="center"/>
          </w:tcPr>
          <w:p w:rsidR="009B2DF4" w:rsidRPr="00685B13" w:rsidRDefault="004F1C39" w:rsidP="002D3004">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15309,7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4F1C39" w:rsidP="007F26B8">
            <w:pPr>
              <w:jc w:val="center"/>
              <w:rPr>
                <w:sz w:val="16"/>
                <w:szCs w:val="16"/>
              </w:rPr>
            </w:pPr>
            <w:r>
              <w:rPr>
                <w:sz w:val="16"/>
                <w:szCs w:val="16"/>
              </w:rPr>
              <w:t>1585,0</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1106,7</w:t>
            </w:r>
          </w:p>
        </w:tc>
        <w:tc>
          <w:tcPr>
            <w:tcW w:w="709" w:type="dxa"/>
            <w:vAlign w:val="center"/>
          </w:tcPr>
          <w:p w:rsidR="009B2DF4" w:rsidRPr="00685B13" w:rsidRDefault="004F1C39" w:rsidP="007F26B8">
            <w:pPr>
              <w:jc w:val="center"/>
              <w:rPr>
                <w:sz w:val="16"/>
                <w:szCs w:val="16"/>
              </w:rPr>
            </w:pPr>
            <w:r>
              <w:rPr>
                <w:sz w:val="16"/>
                <w:szCs w:val="16"/>
              </w:rPr>
              <w:t>492,6</w:t>
            </w:r>
          </w:p>
        </w:tc>
        <w:tc>
          <w:tcPr>
            <w:tcW w:w="709" w:type="dxa"/>
            <w:vAlign w:val="center"/>
          </w:tcPr>
          <w:p w:rsidR="009B2DF4" w:rsidRPr="00685B13" w:rsidRDefault="004F1C39" w:rsidP="007F26B8">
            <w:pPr>
              <w:jc w:val="center"/>
              <w:rPr>
                <w:sz w:val="16"/>
                <w:szCs w:val="16"/>
              </w:rPr>
            </w:pPr>
            <w:r>
              <w:rPr>
                <w:sz w:val="16"/>
                <w:szCs w:val="16"/>
              </w:rPr>
              <w:t>294,7</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15309,7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4F1C39" w:rsidP="00497EFD">
            <w:pPr>
              <w:jc w:val="center"/>
              <w:rPr>
                <w:sz w:val="16"/>
                <w:szCs w:val="16"/>
              </w:rPr>
            </w:pPr>
            <w:r>
              <w:rPr>
                <w:sz w:val="16"/>
                <w:szCs w:val="16"/>
              </w:rPr>
              <w:t>1585,0</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1106,7</w:t>
            </w:r>
          </w:p>
        </w:tc>
        <w:tc>
          <w:tcPr>
            <w:tcW w:w="709" w:type="dxa"/>
            <w:vAlign w:val="center"/>
          </w:tcPr>
          <w:p w:rsidR="009B2DF4" w:rsidRPr="00685B13" w:rsidRDefault="004F1C39" w:rsidP="00497EFD">
            <w:pPr>
              <w:jc w:val="center"/>
              <w:rPr>
                <w:sz w:val="16"/>
                <w:szCs w:val="16"/>
              </w:rPr>
            </w:pPr>
            <w:r>
              <w:rPr>
                <w:sz w:val="16"/>
                <w:szCs w:val="16"/>
              </w:rPr>
              <w:t>492,6</w:t>
            </w:r>
          </w:p>
        </w:tc>
        <w:tc>
          <w:tcPr>
            <w:tcW w:w="709" w:type="dxa"/>
            <w:vAlign w:val="center"/>
          </w:tcPr>
          <w:p w:rsidR="009B2DF4" w:rsidRPr="00685B13" w:rsidRDefault="004F1C39" w:rsidP="00497EFD">
            <w:pPr>
              <w:jc w:val="center"/>
              <w:rPr>
                <w:sz w:val="16"/>
                <w:szCs w:val="16"/>
              </w:rPr>
            </w:pPr>
            <w:r>
              <w:rPr>
                <w:sz w:val="16"/>
                <w:szCs w:val="16"/>
              </w:rPr>
              <w:t>294,7</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E16CBB" w:rsidP="00FF7B40">
            <w:pPr>
              <w:jc w:val="center"/>
              <w:rPr>
                <w:color w:val="000000"/>
                <w:sz w:val="22"/>
                <w:szCs w:val="22"/>
              </w:rPr>
            </w:pPr>
            <w:r>
              <w:rPr>
                <w:color w:val="000000"/>
                <w:sz w:val="22"/>
                <w:szCs w:val="22"/>
              </w:rPr>
              <w:t>30591,5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1906,4</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1756,0</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E16CBB" w:rsidP="00603CFA">
            <w:pPr>
              <w:jc w:val="center"/>
              <w:rPr>
                <w:color w:val="000000"/>
                <w:sz w:val="22"/>
                <w:szCs w:val="22"/>
              </w:rPr>
            </w:pPr>
            <w:r>
              <w:rPr>
                <w:color w:val="000000"/>
                <w:sz w:val="22"/>
                <w:szCs w:val="22"/>
              </w:rPr>
              <w:t>29846,9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497EFD">
            <w:pPr>
              <w:jc w:val="center"/>
              <w:rPr>
                <w:sz w:val="22"/>
                <w:szCs w:val="22"/>
              </w:rPr>
            </w:pPr>
            <w:r>
              <w:rPr>
                <w:sz w:val="22"/>
                <w:szCs w:val="22"/>
              </w:rPr>
              <w:t>1906,4</w:t>
            </w:r>
          </w:p>
        </w:tc>
        <w:tc>
          <w:tcPr>
            <w:tcW w:w="876" w:type="dxa"/>
            <w:shd w:val="clear" w:color="auto" w:fill="auto"/>
            <w:vAlign w:val="center"/>
          </w:tcPr>
          <w:p w:rsidR="009B2DF4" w:rsidRPr="009B2DF4" w:rsidRDefault="00E16CBB" w:rsidP="00497EFD">
            <w:pPr>
              <w:jc w:val="center"/>
              <w:rPr>
                <w:sz w:val="22"/>
                <w:szCs w:val="22"/>
              </w:rPr>
            </w:pPr>
            <w:r>
              <w:rPr>
                <w:sz w:val="22"/>
                <w:szCs w:val="22"/>
              </w:rPr>
              <w:t>1756,0</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30360,1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FF7B40">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CA35E3" w:rsidP="00E16CBB">
            <w:pPr>
              <w:rPr>
                <w:sz w:val="22"/>
                <w:szCs w:val="22"/>
              </w:rPr>
            </w:pPr>
            <w:r>
              <w:rPr>
                <w:sz w:val="22"/>
                <w:szCs w:val="22"/>
              </w:rPr>
              <w:t>29615,5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B7" w:rsidRDefault="00C810B7">
      <w:r>
        <w:separator/>
      </w:r>
    </w:p>
  </w:endnote>
  <w:endnote w:type="continuationSeparator" w:id="0">
    <w:p w:rsidR="00C810B7" w:rsidRDefault="00C8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55A9" w:rsidRDefault="006855A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pPr>
      <w:pStyle w:val="a7"/>
      <w:jc w:val="right"/>
    </w:pPr>
  </w:p>
  <w:p w:rsidR="006855A9" w:rsidRPr="00195FBC" w:rsidRDefault="006855A9"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855A9" w:rsidRDefault="006855A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A9" w:rsidRDefault="006855A9"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B7" w:rsidRDefault="00C810B7">
      <w:r>
        <w:separator/>
      </w:r>
    </w:p>
  </w:footnote>
  <w:footnote w:type="continuationSeparator" w:id="0">
    <w:p w:rsidR="00C810B7" w:rsidRDefault="00C81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6221"/>
    <w:rsid w:val="00CA6550"/>
    <w:rsid w:val="00CA68E1"/>
    <w:rsid w:val="00CB13AC"/>
    <w:rsid w:val="00CB1402"/>
    <w:rsid w:val="00CB1AA4"/>
    <w:rsid w:val="00CB22E0"/>
    <w:rsid w:val="00CB26C7"/>
    <w:rsid w:val="00CB26E4"/>
    <w:rsid w:val="00CB3A7A"/>
    <w:rsid w:val="00CB488C"/>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CA77-68A2-4787-AB51-C5C1A225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21</Pages>
  <Words>3820</Words>
  <Characters>27129</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28</cp:revision>
  <cp:lastPrinted>2022-11-11T14:39:00Z</cp:lastPrinted>
  <dcterms:created xsi:type="dcterms:W3CDTF">2021-12-28T12:08:00Z</dcterms:created>
  <dcterms:modified xsi:type="dcterms:W3CDTF">2022-12-05T10:22:00Z</dcterms:modified>
</cp:coreProperties>
</file>