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45" w:rsidRDefault="00695C45" w:rsidP="00895A94">
      <w:pPr>
        <w:jc w:val="center"/>
        <w:rPr>
          <w:rFonts w:ascii="Times New Roman" w:hAnsi="Times New Roman"/>
          <w:sz w:val="28"/>
          <w:szCs w:val="28"/>
        </w:rPr>
      </w:pPr>
      <w:r w:rsidRPr="00895A94">
        <w:rPr>
          <w:rFonts w:ascii="Times New Roman" w:hAnsi="Times New Roman"/>
          <w:sz w:val="28"/>
          <w:szCs w:val="28"/>
        </w:rPr>
        <w:t>Протокол</w:t>
      </w:r>
    </w:p>
    <w:p w:rsidR="00695C45" w:rsidRDefault="00695C45" w:rsidP="00895A94">
      <w:pPr>
        <w:jc w:val="center"/>
        <w:rPr>
          <w:rFonts w:ascii="Times New Roman" w:hAnsi="Times New Roman"/>
          <w:sz w:val="28"/>
          <w:szCs w:val="28"/>
        </w:rPr>
      </w:pPr>
      <w:r w:rsidRPr="00895A94">
        <w:rPr>
          <w:rFonts w:ascii="Times New Roman" w:hAnsi="Times New Roman"/>
          <w:sz w:val="28"/>
          <w:szCs w:val="28"/>
        </w:rPr>
        <w:t xml:space="preserve"> заседания общественного совета при Администрации Красноармейского сельского поселения</w:t>
      </w:r>
      <w:r>
        <w:rPr>
          <w:rFonts w:ascii="Times New Roman" w:hAnsi="Times New Roman"/>
          <w:sz w:val="28"/>
          <w:szCs w:val="28"/>
        </w:rPr>
        <w:t xml:space="preserve"> № 1</w:t>
      </w:r>
    </w:p>
    <w:p w:rsidR="00695C45" w:rsidRDefault="00695C45" w:rsidP="00895A94">
      <w:pPr>
        <w:rPr>
          <w:rFonts w:ascii="Times New Roman" w:hAnsi="Times New Roman"/>
          <w:sz w:val="24"/>
          <w:szCs w:val="24"/>
        </w:rPr>
      </w:pPr>
      <w:r>
        <w:rPr>
          <w:rFonts w:ascii="Times New Roman" w:hAnsi="Times New Roman"/>
          <w:sz w:val="24"/>
          <w:szCs w:val="24"/>
        </w:rPr>
        <w:t xml:space="preserve">                 27.12.2018 г                                                                             п. Красноармейский</w:t>
      </w:r>
    </w:p>
    <w:p w:rsidR="00695C45" w:rsidRDefault="00695C45" w:rsidP="002747A5">
      <w:pPr>
        <w:spacing w:after="0" w:line="240" w:lineRule="auto"/>
        <w:rPr>
          <w:rFonts w:ascii="Times New Roman" w:hAnsi="Times New Roman"/>
          <w:sz w:val="24"/>
          <w:szCs w:val="24"/>
        </w:rPr>
      </w:pPr>
      <w:r>
        <w:rPr>
          <w:rFonts w:ascii="Times New Roman" w:hAnsi="Times New Roman"/>
          <w:sz w:val="24"/>
          <w:szCs w:val="24"/>
        </w:rPr>
        <w:t>Присутствуют – 10 человек</w:t>
      </w:r>
    </w:p>
    <w:p w:rsidR="00695C45" w:rsidRDefault="00695C45" w:rsidP="002747A5">
      <w:pPr>
        <w:spacing w:after="0" w:line="240" w:lineRule="auto"/>
        <w:rPr>
          <w:rFonts w:ascii="Times New Roman" w:hAnsi="Times New Roman"/>
          <w:sz w:val="24"/>
          <w:szCs w:val="24"/>
        </w:rPr>
      </w:pPr>
      <w:r>
        <w:rPr>
          <w:rFonts w:ascii="Times New Roman" w:hAnsi="Times New Roman"/>
          <w:sz w:val="24"/>
          <w:szCs w:val="24"/>
        </w:rPr>
        <w:t>Членов Совета – 5 человек.</w:t>
      </w:r>
    </w:p>
    <w:p w:rsidR="00695C45" w:rsidRDefault="00695C45" w:rsidP="002747A5">
      <w:pPr>
        <w:spacing w:after="0" w:line="240" w:lineRule="auto"/>
        <w:rPr>
          <w:rFonts w:ascii="Times New Roman" w:hAnsi="Times New Roman"/>
          <w:sz w:val="24"/>
          <w:szCs w:val="24"/>
        </w:rPr>
      </w:pPr>
      <w:r>
        <w:rPr>
          <w:rFonts w:ascii="Times New Roman" w:hAnsi="Times New Roman"/>
          <w:sz w:val="24"/>
          <w:szCs w:val="24"/>
        </w:rPr>
        <w:t xml:space="preserve">В работе Совета приняли участие: </w:t>
      </w:r>
    </w:p>
    <w:p w:rsidR="00695C45" w:rsidRDefault="00695C45" w:rsidP="002747A5">
      <w:pPr>
        <w:spacing w:after="0" w:line="240" w:lineRule="auto"/>
        <w:jc w:val="both"/>
        <w:rPr>
          <w:rFonts w:ascii="Times New Roman" w:hAnsi="Times New Roman"/>
          <w:sz w:val="24"/>
          <w:szCs w:val="24"/>
        </w:rPr>
      </w:pPr>
      <w:r w:rsidRPr="00D22F11">
        <w:rPr>
          <w:rFonts w:ascii="Times New Roman" w:hAnsi="Times New Roman"/>
          <w:sz w:val="24"/>
          <w:szCs w:val="24"/>
        </w:rPr>
        <w:t>Крахмалец А.И. Директор М</w:t>
      </w:r>
      <w:r>
        <w:rPr>
          <w:rFonts w:ascii="Times New Roman" w:hAnsi="Times New Roman"/>
          <w:sz w:val="24"/>
          <w:szCs w:val="24"/>
        </w:rPr>
        <w:t>КУК КСПОР «Красноармейский СДК»; Мануйлова И.М. Заведующий Широкинский СК филиал МКУК  КСПОР «Красноармейский СДК»; Устенко А.Н.Заведующий Верхнетавричанский СК филиал МКУК  КСПОР «Красноармейский СДК»; Женовачева А. А. Заведующий Раздорский СК филиал МКУК  КСПОР «Красноармейский СДК»; Криворотова Н.Н. – главный бухгалтер Администрации Красноармейского сельского поселения.</w:t>
      </w:r>
    </w:p>
    <w:p w:rsidR="00695C45" w:rsidRPr="00D22F11" w:rsidRDefault="00695C45" w:rsidP="002747A5">
      <w:pPr>
        <w:spacing w:after="0" w:line="240" w:lineRule="auto"/>
        <w:rPr>
          <w:rFonts w:ascii="Times New Roman" w:hAnsi="Times New Roman"/>
          <w:sz w:val="24"/>
          <w:szCs w:val="24"/>
        </w:rPr>
      </w:pPr>
    </w:p>
    <w:p w:rsidR="00695C45" w:rsidRPr="00DA799D" w:rsidRDefault="00695C45" w:rsidP="00DA799D">
      <w:pPr>
        <w:spacing w:after="0" w:line="240" w:lineRule="auto"/>
        <w:rPr>
          <w:rFonts w:ascii="Times New Roman" w:hAnsi="Times New Roman"/>
          <w:b/>
          <w:sz w:val="24"/>
          <w:szCs w:val="24"/>
        </w:rPr>
      </w:pPr>
      <w:r w:rsidRPr="00DA799D">
        <w:rPr>
          <w:rFonts w:ascii="Times New Roman" w:hAnsi="Times New Roman"/>
          <w:b/>
          <w:sz w:val="24"/>
          <w:szCs w:val="24"/>
        </w:rPr>
        <w:t>Повестка заседания</w:t>
      </w:r>
      <w:r>
        <w:rPr>
          <w:rFonts w:ascii="Times New Roman" w:hAnsi="Times New Roman"/>
          <w:b/>
          <w:sz w:val="24"/>
          <w:szCs w:val="24"/>
        </w:rPr>
        <w:t>:</w:t>
      </w:r>
    </w:p>
    <w:p w:rsidR="00695C45" w:rsidRDefault="00695C45" w:rsidP="00F65EA8">
      <w:pPr>
        <w:spacing w:after="0" w:line="240" w:lineRule="auto"/>
        <w:jc w:val="both"/>
        <w:rPr>
          <w:rFonts w:ascii="Times New Roman" w:hAnsi="Times New Roman"/>
          <w:sz w:val="24"/>
          <w:szCs w:val="24"/>
        </w:rPr>
      </w:pPr>
      <w:r>
        <w:rPr>
          <w:rFonts w:ascii="Times New Roman" w:hAnsi="Times New Roman"/>
          <w:sz w:val="24"/>
          <w:szCs w:val="24"/>
        </w:rPr>
        <w:t>1. Об отчете председателя Общественного совета о результатах независимой оценки качества оказания услуг организациями культуры, подведомственными Администрации Красноармейского сельского поселения: МКУК КСПОР «Красноармейский СДК».</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2.О результатах рассмотрения независимой оценки.</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3.О предложениях по улучшению качества их деятельности.</w:t>
      </w:r>
    </w:p>
    <w:p w:rsidR="00695C45" w:rsidRDefault="00695C45" w:rsidP="002747A5">
      <w:pPr>
        <w:pStyle w:val="ListParagraph"/>
        <w:spacing w:after="0" w:line="240" w:lineRule="auto"/>
        <w:ind w:left="0"/>
        <w:jc w:val="both"/>
        <w:rPr>
          <w:rFonts w:ascii="Times New Roman" w:hAnsi="Times New Roman"/>
          <w:sz w:val="24"/>
          <w:szCs w:val="24"/>
        </w:rPr>
      </w:pP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Слушали:</w:t>
      </w:r>
      <w:r>
        <w:rPr>
          <w:rFonts w:ascii="Times New Roman" w:hAnsi="Times New Roman"/>
          <w:sz w:val="24"/>
          <w:szCs w:val="24"/>
        </w:rPr>
        <w:t xml:space="preserve"> Щербакову Елену Николаевну – зав отделением МБУ ЦСО, которая представила членам общественного совета отчет о результатах независимой оценки качества оказания услуг учреждений культуры: МКУК КСПОР «Красноармейский СДК» (Приложение 1).</w:t>
      </w:r>
    </w:p>
    <w:p w:rsidR="00695C45" w:rsidRDefault="00695C45" w:rsidP="002747A5">
      <w:pPr>
        <w:pStyle w:val="ListParagraph"/>
        <w:spacing w:after="0" w:line="240" w:lineRule="auto"/>
        <w:ind w:left="0"/>
        <w:jc w:val="both"/>
        <w:rPr>
          <w:rFonts w:ascii="Times New Roman" w:hAnsi="Times New Roman"/>
          <w:sz w:val="24"/>
          <w:szCs w:val="24"/>
          <w:lang w:eastAsia="zh-CN" w:bidi="hi-IN"/>
        </w:rPr>
      </w:pPr>
      <w:r>
        <w:rPr>
          <w:rFonts w:ascii="Times New Roman" w:hAnsi="Times New Roman"/>
          <w:sz w:val="24"/>
          <w:szCs w:val="24"/>
          <w:lang w:eastAsia="zh-CN" w:bidi="hi-IN"/>
        </w:rPr>
        <w:t>Рассказала о задачах проведения исследований  по независимой оценке качества услуг. Она остановилась на основных положениях нормативных правовых актов, подчеркнула, что общественный совет является независимым органом. Следует учитывать, что исследование проводилось без финансовых вложений. Она подробно остановилась на пяти показателях и их критериях. Это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695C45" w:rsidRDefault="00695C45" w:rsidP="002747A5">
      <w:pPr>
        <w:pStyle w:val="ListParagraph"/>
        <w:spacing w:after="0" w:line="240" w:lineRule="auto"/>
        <w:ind w:left="0"/>
        <w:jc w:val="both"/>
        <w:rPr>
          <w:rFonts w:ascii="Times New Roman" w:hAnsi="Times New Roman"/>
          <w:sz w:val="24"/>
          <w:szCs w:val="24"/>
        </w:rPr>
      </w:pP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 xml:space="preserve">Выступила: </w:t>
      </w:r>
      <w:r w:rsidRPr="00733757">
        <w:rPr>
          <w:rFonts w:ascii="Times New Roman" w:hAnsi="Times New Roman"/>
          <w:sz w:val="24"/>
          <w:szCs w:val="24"/>
        </w:rPr>
        <w:t>Старунова Мария Сергеевна</w:t>
      </w:r>
      <w:r>
        <w:rPr>
          <w:rFonts w:ascii="Times New Roman" w:hAnsi="Times New Roman"/>
          <w:sz w:val="24"/>
          <w:szCs w:val="24"/>
        </w:rPr>
        <w:t xml:space="preserve"> – специалист первой категории Администрации Красноармейского сельского поселения, которая подвела итоги и ознакомила всех членов комиссии общественного совета с перечнем проверенных учреждений культуры и результатами независимой оценки.</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Отчет о результате независимой оценки представлен с разбивкой по способам оценки, согласно методическим рекомендациям по проведению независимой оценки качества оказания услуг организациями культуры и порядка измерений при независимой оценке качества оказания услуг организациями культуры.</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По показателям, формируемым на основе анализа информации на официальном сайте организации культуры, можно сделать вывод о соответствии почти всем требованиям информационного объекта.</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По показателям, формируемым на основе изучения мнения получателей услуг культурно-досугового обслуживания можно сделать вывод, что показатели не высоки по некоторым причинам:</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частичное несоответствие материально-технической базы учреждения;</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недостаточное обеспечение условий доступной среды для инвалидов и других маломобильных групп населения;</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Общий уровень удовлетворенности населения качеством обслуживания по оценкам респондентов можно охарактеризовать как соответствующий спросу населения.</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Итоговые оценки (баллы) – результаты независимой оценки качества оказания услуг: 100 баллов</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На основании проведенной независимой оценки поступили предложения по улучшению качества оказания услуг:</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размещать планы мероприятий и регулярно обновлять информацию на сайте;</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улучшить материально-техническую базу учреждения;</w:t>
      </w: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совершенствование уровня комфортности (места для сидений, отдыха, гардероб, чистота помещений)</w:t>
      </w:r>
    </w:p>
    <w:p w:rsidR="00695C45" w:rsidRDefault="00695C45" w:rsidP="002747A5">
      <w:pPr>
        <w:pStyle w:val="ListParagraph"/>
        <w:spacing w:after="0" w:line="240" w:lineRule="auto"/>
        <w:ind w:left="0"/>
        <w:jc w:val="both"/>
        <w:rPr>
          <w:rFonts w:ascii="Times New Roman" w:hAnsi="Times New Roman"/>
          <w:sz w:val="24"/>
          <w:szCs w:val="24"/>
        </w:rPr>
      </w:pPr>
    </w:p>
    <w:p w:rsidR="00695C45" w:rsidRDefault="00695C45" w:rsidP="002747A5">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Решили:</w:t>
      </w:r>
    </w:p>
    <w:p w:rsidR="00695C45" w:rsidRDefault="00695C45" w:rsidP="005C1424">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Разместить результаты независимой оценки качества предоставления услуг организациями культуры.</w:t>
      </w:r>
    </w:p>
    <w:p w:rsidR="00695C45" w:rsidRDefault="00695C45" w:rsidP="005C1424">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Внести предложения по улучшению качества деятельности учреждений культуры.</w:t>
      </w:r>
    </w:p>
    <w:p w:rsidR="00695C45" w:rsidRDefault="00695C45" w:rsidP="005C1424">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Руководителям рассмотреть данные предложения по улучшению качества деятельности учреждений культуры и провести мероприятия по их реализации.</w:t>
      </w:r>
    </w:p>
    <w:p w:rsidR="00695C45" w:rsidRDefault="00695C45" w:rsidP="005C1424">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«ЗА» - 5 человек, «ПРОТИВ» - нет, «ВОЗДЕРЖАЛИСЬ» - нет</w:t>
      </w:r>
    </w:p>
    <w:p w:rsidR="00695C45" w:rsidRDefault="00695C45" w:rsidP="005C1424">
      <w:pPr>
        <w:pStyle w:val="ListParagraph"/>
        <w:spacing w:after="0" w:line="240" w:lineRule="auto"/>
        <w:ind w:left="0"/>
        <w:jc w:val="both"/>
        <w:rPr>
          <w:rFonts w:ascii="Times New Roman" w:hAnsi="Times New Roman"/>
          <w:sz w:val="24"/>
          <w:szCs w:val="24"/>
          <w:lang w:eastAsia="zh-CN" w:bidi="hi-IN"/>
        </w:rPr>
      </w:pPr>
      <w:r>
        <w:rPr>
          <w:rFonts w:ascii="Times New Roman" w:hAnsi="Times New Roman"/>
          <w:sz w:val="24"/>
          <w:szCs w:val="24"/>
          <w:lang w:eastAsia="zh-CN" w:bidi="hi-IN"/>
        </w:rPr>
        <w:t>Принято единогласно.</w:t>
      </w:r>
    </w:p>
    <w:p w:rsidR="00695C45" w:rsidRDefault="00695C45" w:rsidP="005C1424">
      <w:pPr>
        <w:pStyle w:val="ListParagraph"/>
        <w:spacing w:after="0" w:line="240" w:lineRule="auto"/>
        <w:ind w:left="0"/>
        <w:jc w:val="both"/>
        <w:rPr>
          <w:rFonts w:ascii="Times New Roman" w:hAnsi="Times New Roman"/>
          <w:sz w:val="24"/>
          <w:szCs w:val="24"/>
        </w:rPr>
      </w:pPr>
    </w:p>
    <w:p w:rsidR="00695C45" w:rsidRDefault="00695C45" w:rsidP="005C1424">
      <w:pPr>
        <w:pStyle w:val="ListParagraph"/>
        <w:spacing w:after="0" w:line="240" w:lineRule="auto"/>
        <w:ind w:left="0"/>
        <w:jc w:val="both"/>
        <w:rPr>
          <w:rFonts w:ascii="Times New Roman" w:hAnsi="Times New Roman"/>
          <w:sz w:val="24"/>
          <w:szCs w:val="24"/>
        </w:rPr>
      </w:pPr>
    </w:p>
    <w:p w:rsidR="00695C45" w:rsidRDefault="00695C45" w:rsidP="00DA799D">
      <w:pPr>
        <w:pStyle w:val="ListParagraph"/>
        <w:widowControl w:val="0"/>
        <w:tabs>
          <w:tab w:val="left" w:pos="130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Председатель Общественного Совета</w:t>
      </w:r>
    </w:p>
    <w:p w:rsidR="00695C45" w:rsidRDefault="00695C45" w:rsidP="00DA799D">
      <w:pPr>
        <w:pStyle w:val="ListParagraph"/>
        <w:widowControl w:val="0"/>
        <w:tabs>
          <w:tab w:val="left" w:pos="130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при Администрации Красноармейского</w:t>
      </w:r>
    </w:p>
    <w:p w:rsidR="00695C45" w:rsidRPr="00DF0493" w:rsidRDefault="00695C45" w:rsidP="00DA799D">
      <w:pPr>
        <w:pStyle w:val="ListParagraph"/>
        <w:widowControl w:val="0"/>
        <w:tabs>
          <w:tab w:val="left" w:pos="1305"/>
        </w:tabs>
        <w:autoSpaceDE w:val="0"/>
        <w:autoSpaceDN w:val="0"/>
        <w:adjustRightInd w:val="0"/>
        <w:spacing w:after="0" w:line="240" w:lineRule="auto"/>
        <w:ind w:left="0"/>
        <w:jc w:val="both"/>
        <w:rPr>
          <w:rFonts w:ascii="Times New Roman" w:hAnsi="Times New Roman"/>
          <w:sz w:val="24"/>
          <w:szCs w:val="24"/>
          <w:lang w:eastAsia="zh-CN" w:bidi="hi-IN"/>
        </w:rPr>
      </w:pPr>
      <w:r>
        <w:rPr>
          <w:rFonts w:ascii="Times New Roman" w:hAnsi="Times New Roman"/>
          <w:sz w:val="24"/>
          <w:szCs w:val="24"/>
        </w:rPr>
        <w:t>сельского поселения                                                                            Щербакова Е.Н.</w:t>
      </w:r>
    </w:p>
    <w:p w:rsidR="00695C45" w:rsidRDefault="00695C45" w:rsidP="005C1424">
      <w:pPr>
        <w:pStyle w:val="ListParagraph"/>
        <w:spacing w:after="0" w:line="240" w:lineRule="auto"/>
        <w:ind w:left="0"/>
        <w:jc w:val="both"/>
        <w:rPr>
          <w:rFonts w:ascii="Times New Roman" w:hAnsi="Times New Roman"/>
          <w:sz w:val="24"/>
          <w:szCs w:val="24"/>
        </w:rPr>
      </w:pPr>
    </w:p>
    <w:p w:rsidR="00695C45" w:rsidRDefault="00695C45" w:rsidP="005C1424">
      <w:pPr>
        <w:pStyle w:val="ListParagraph"/>
        <w:spacing w:after="0" w:line="240" w:lineRule="auto"/>
        <w:ind w:left="0"/>
        <w:jc w:val="both"/>
        <w:rPr>
          <w:rFonts w:ascii="Times New Roman" w:hAnsi="Times New Roman"/>
          <w:sz w:val="24"/>
          <w:szCs w:val="24"/>
        </w:rPr>
      </w:pPr>
    </w:p>
    <w:p w:rsidR="00695C45" w:rsidRDefault="00695C45" w:rsidP="005C1424">
      <w:pPr>
        <w:pStyle w:val="ListParagraph"/>
        <w:spacing w:after="0" w:line="240" w:lineRule="auto"/>
        <w:ind w:left="0"/>
        <w:jc w:val="both"/>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p>
    <w:p w:rsidR="00695C45" w:rsidRDefault="00695C45" w:rsidP="00DA799D">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Приложение № 1</w:t>
      </w:r>
    </w:p>
    <w:p w:rsidR="00695C45" w:rsidRPr="005C1424" w:rsidRDefault="00695C45" w:rsidP="00DA799D">
      <w:pPr>
        <w:pStyle w:val="ListParagraph"/>
        <w:spacing w:after="0" w:line="240" w:lineRule="auto"/>
        <w:ind w:left="0"/>
        <w:jc w:val="right"/>
        <w:rPr>
          <w:rFonts w:ascii="Times New Roman" w:hAnsi="Times New Roman"/>
          <w:sz w:val="24"/>
          <w:szCs w:val="24"/>
        </w:rPr>
      </w:pPr>
    </w:p>
    <w:p w:rsidR="00695C45" w:rsidRDefault="00695C45" w:rsidP="005370E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Отчет</w:t>
      </w:r>
    </w:p>
    <w:p w:rsidR="00695C45" w:rsidRDefault="00695C45" w:rsidP="005370E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 о результатах независимой оценки качества оказания услуг организациями культуры, подведомственных Администрации Красноармейского сельского поселения:</w:t>
      </w:r>
    </w:p>
    <w:p w:rsidR="00695C45" w:rsidRDefault="00695C45" w:rsidP="005370E5">
      <w:pPr>
        <w:pStyle w:val="ListParagraph"/>
        <w:spacing w:after="0" w:line="240" w:lineRule="auto"/>
        <w:ind w:left="0"/>
        <w:jc w:val="center"/>
        <w:rPr>
          <w:rFonts w:ascii="Times New Roman" w:hAnsi="Times New Roman"/>
          <w:b/>
          <w:sz w:val="24"/>
          <w:szCs w:val="24"/>
        </w:rPr>
      </w:pPr>
      <w:r w:rsidRPr="007A6319">
        <w:rPr>
          <w:rFonts w:ascii="Times New Roman" w:hAnsi="Times New Roman"/>
          <w:b/>
          <w:sz w:val="24"/>
          <w:szCs w:val="24"/>
        </w:rPr>
        <w:t>МКУК КСПОР «Красн</w:t>
      </w:r>
      <w:r>
        <w:rPr>
          <w:rFonts w:ascii="Times New Roman" w:hAnsi="Times New Roman"/>
          <w:b/>
          <w:sz w:val="24"/>
          <w:szCs w:val="24"/>
        </w:rPr>
        <w:t>оармейский СДК»</w:t>
      </w:r>
    </w:p>
    <w:p w:rsidR="00695C45" w:rsidRPr="007A6319" w:rsidRDefault="00695C45" w:rsidP="005370E5">
      <w:pPr>
        <w:pStyle w:val="ListParagraph"/>
        <w:spacing w:after="0" w:line="240" w:lineRule="auto"/>
        <w:ind w:left="0"/>
        <w:jc w:val="center"/>
        <w:rPr>
          <w:rFonts w:ascii="Times New Roman" w:hAnsi="Times New Roman"/>
          <w:b/>
          <w:sz w:val="24"/>
          <w:szCs w:val="24"/>
        </w:rPr>
      </w:pPr>
    </w:p>
    <w:p w:rsidR="00695C45" w:rsidRDefault="00695C45" w:rsidP="003A7EF9">
      <w:pPr>
        <w:pStyle w:val="ListParagraph"/>
        <w:spacing w:after="0" w:line="240" w:lineRule="auto"/>
        <w:ind w:left="0"/>
        <w:rPr>
          <w:rFonts w:ascii="Times New Roman" w:hAnsi="Times New Roman"/>
          <w:sz w:val="24"/>
          <w:szCs w:val="24"/>
        </w:rPr>
      </w:pPr>
      <w:r>
        <w:rPr>
          <w:rFonts w:ascii="Times New Roman" w:hAnsi="Times New Roman"/>
          <w:sz w:val="24"/>
          <w:szCs w:val="24"/>
        </w:rPr>
        <w:t>Период проведения оценки с 19.12.2018 по 27.12.2018</w:t>
      </w:r>
    </w:p>
    <w:p w:rsidR="00695C45" w:rsidRDefault="00695C45" w:rsidP="003A7EF9">
      <w:pPr>
        <w:pStyle w:val="ListParagraph"/>
        <w:spacing w:after="0" w:line="240" w:lineRule="auto"/>
        <w:ind w:left="0"/>
        <w:rPr>
          <w:rFonts w:ascii="Times New Roman" w:hAnsi="Times New Roman"/>
          <w:sz w:val="24"/>
          <w:szCs w:val="24"/>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2"/>
        <w:gridCol w:w="6050"/>
        <w:gridCol w:w="2484"/>
      </w:tblGrid>
      <w:tr w:rsidR="00695C45" w:rsidRPr="005370E5" w:rsidTr="006F50BB">
        <w:trPr>
          <w:trHeight w:val="660"/>
        </w:trPr>
        <w:tc>
          <w:tcPr>
            <w:tcW w:w="862" w:type="dxa"/>
          </w:tcPr>
          <w:p w:rsidR="00695C45" w:rsidRPr="005370E5" w:rsidRDefault="00695C45" w:rsidP="006F50BB">
            <w:pPr>
              <w:jc w:val="center"/>
              <w:outlineLvl w:val="0"/>
              <w:rPr>
                <w:rFonts w:ascii="Times New Roman" w:hAnsi="Times New Roman"/>
                <w:sz w:val="24"/>
                <w:szCs w:val="24"/>
              </w:rPr>
            </w:pPr>
            <w:r w:rsidRPr="005370E5">
              <w:rPr>
                <w:rFonts w:ascii="Times New Roman" w:hAnsi="Times New Roman"/>
                <w:sz w:val="24"/>
                <w:szCs w:val="24"/>
              </w:rPr>
              <w:t>№ п/п</w:t>
            </w:r>
          </w:p>
        </w:tc>
        <w:tc>
          <w:tcPr>
            <w:tcW w:w="6050" w:type="dxa"/>
          </w:tcPr>
          <w:p w:rsidR="00695C45" w:rsidRPr="005370E5" w:rsidRDefault="00695C45" w:rsidP="006F50BB">
            <w:pPr>
              <w:jc w:val="center"/>
              <w:outlineLvl w:val="0"/>
              <w:rPr>
                <w:rFonts w:ascii="Times New Roman" w:hAnsi="Times New Roman"/>
                <w:sz w:val="24"/>
                <w:szCs w:val="24"/>
              </w:rPr>
            </w:pPr>
            <w:r w:rsidRPr="005370E5">
              <w:rPr>
                <w:rFonts w:ascii="Times New Roman" w:hAnsi="Times New Roman"/>
                <w:sz w:val="24"/>
                <w:szCs w:val="24"/>
              </w:rPr>
              <w:t>Критерии и показатели</w:t>
            </w:r>
          </w:p>
        </w:tc>
        <w:tc>
          <w:tcPr>
            <w:tcW w:w="2484" w:type="dxa"/>
          </w:tcPr>
          <w:p w:rsidR="00695C45" w:rsidRPr="005370E5" w:rsidRDefault="00695C45" w:rsidP="006F50BB">
            <w:pPr>
              <w:jc w:val="center"/>
              <w:outlineLvl w:val="0"/>
              <w:rPr>
                <w:rFonts w:ascii="Times New Roman" w:hAnsi="Times New Roman"/>
                <w:sz w:val="24"/>
                <w:szCs w:val="24"/>
              </w:rPr>
            </w:pPr>
            <w:r>
              <w:rPr>
                <w:rFonts w:ascii="Times New Roman" w:hAnsi="Times New Roman"/>
                <w:sz w:val="24"/>
                <w:szCs w:val="24"/>
              </w:rPr>
              <w:t>Баллы</w:t>
            </w:r>
          </w:p>
        </w:tc>
      </w:tr>
      <w:tr w:rsidR="00695C45" w:rsidRPr="005370E5" w:rsidTr="00767AE1">
        <w:trPr>
          <w:trHeight w:val="660"/>
        </w:trPr>
        <w:tc>
          <w:tcPr>
            <w:tcW w:w="862" w:type="dxa"/>
          </w:tcPr>
          <w:p w:rsidR="00695C45" w:rsidRPr="005370E5" w:rsidRDefault="00695C45" w:rsidP="006F50BB">
            <w:pPr>
              <w:jc w:val="center"/>
              <w:outlineLvl w:val="0"/>
              <w:rPr>
                <w:rFonts w:ascii="Times New Roman" w:hAnsi="Times New Roman"/>
                <w:sz w:val="24"/>
                <w:szCs w:val="24"/>
              </w:rPr>
            </w:pPr>
            <w:r w:rsidRPr="005370E5">
              <w:rPr>
                <w:rFonts w:ascii="Times New Roman" w:hAnsi="Times New Roman"/>
                <w:sz w:val="24"/>
                <w:szCs w:val="24"/>
              </w:rPr>
              <w:t>1</w:t>
            </w:r>
          </w:p>
        </w:tc>
        <w:tc>
          <w:tcPr>
            <w:tcW w:w="8534" w:type="dxa"/>
            <w:gridSpan w:val="2"/>
          </w:tcPr>
          <w:p w:rsidR="00695C45" w:rsidRPr="005370E5" w:rsidRDefault="00695C45" w:rsidP="006F50BB">
            <w:pPr>
              <w:jc w:val="center"/>
              <w:outlineLvl w:val="0"/>
              <w:rPr>
                <w:rFonts w:ascii="Times New Roman" w:hAnsi="Times New Roman"/>
                <w:sz w:val="24"/>
                <w:szCs w:val="24"/>
              </w:rPr>
            </w:pPr>
            <w:r w:rsidRPr="005370E5">
              <w:rPr>
                <w:rFonts w:ascii="Times New Roman" w:hAnsi="Times New Roman"/>
                <w:sz w:val="24"/>
                <w:szCs w:val="24"/>
              </w:rPr>
              <w:t>Показатели, характеризующие общий критерий оценки качества деятельности учреждений культуры, касающийся открытости и доступности информации об учреждениях культуры</w:t>
            </w:r>
          </w:p>
        </w:tc>
      </w:tr>
      <w:tr w:rsidR="00695C45" w:rsidRPr="005370E5" w:rsidTr="006F50BB">
        <w:trPr>
          <w:trHeight w:val="660"/>
        </w:trPr>
        <w:tc>
          <w:tcPr>
            <w:tcW w:w="862" w:type="dxa"/>
          </w:tcPr>
          <w:p w:rsidR="00695C45" w:rsidRPr="005370E5" w:rsidRDefault="00695C45" w:rsidP="006F50BB">
            <w:pPr>
              <w:jc w:val="center"/>
              <w:outlineLvl w:val="0"/>
              <w:rPr>
                <w:rFonts w:ascii="Times New Roman" w:hAnsi="Times New Roman"/>
                <w:sz w:val="24"/>
                <w:szCs w:val="24"/>
              </w:rPr>
            </w:pPr>
            <w:r>
              <w:rPr>
                <w:rFonts w:ascii="Times New Roman" w:hAnsi="Times New Roman"/>
                <w:sz w:val="24"/>
                <w:szCs w:val="24"/>
              </w:rPr>
              <w:t>1.1</w:t>
            </w:r>
          </w:p>
        </w:tc>
        <w:tc>
          <w:tcPr>
            <w:tcW w:w="6050" w:type="dxa"/>
          </w:tcPr>
          <w:p w:rsidR="00695C45" w:rsidRPr="005370E5" w:rsidRDefault="00695C45" w:rsidP="009C7F24">
            <w:pPr>
              <w:outlineLvl w:val="0"/>
              <w:rPr>
                <w:rFonts w:ascii="Times New Roman" w:hAnsi="Times New Roman"/>
                <w:sz w:val="24"/>
                <w:szCs w:val="24"/>
              </w:rPr>
            </w:pPr>
            <w:r>
              <w:rPr>
                <w:rFonts w:ascii="Times New Roman" w:hAnsi="Times New Roman"/>
                <w:sz w:val="24"/>
                <w:szCs w:val="24"/>
              </w:rPr>
              <w:t>Наличие информации о деятельности организации культуры на официальном сайте организации культуры в сети «Интернет» в соответствии с приказом Минкультуры России от 20.02.2015 № 277 «Об утверждении требование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tc>
        <w:tc>
          <w:tcPr>
            <w:tcW w:w="2484" w:type="dxa"/>
          </w:tcPr>
          <w:p w:rsidR="00695C45" w:rsidRPr="005370E5" w:rsidRDefault="00695C45" w:rsidP="006F50BB">
            <w:pPr>
              <w:jc w:val="center"/>
              <w:outlineLvl w:val="0"/>
              <w:rPr>
                <w:rFonts w:ascii="Times New Roman" w:hAnsi="Times New Roman"/>
                <w:sz w:val="24"/>
                <w:szCs w:val="24"/>
              </w:rPr>
            </w:pPr>
            <w:r>
              <w:rPr>
                <w:rFonts w:ascii="Times New Roman" w:hAnsi="Times New Roman"/>
                <w:sz w:val="24"/>
                <w:szCs w:val="24"/>
              </w:rPr>
              <w:t>10</w:t>
            </w:r>
          </w:p>
        </w:tc>
      </w:tr>
      <w:tr w:rsidR="00695C45" w:rsidRPr="005370E5" w:rsidTr="006F50BB">
        <w:trPr>
          <w:trHeight w:val="660"/>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1.2</w:t>
            </w:r>
          </w:p>
        </w:tc>
        <w:tc>
          <w:tcPr>
            <w:tcW w:w="6050" w:type="dxa"/>
          </w:tcPr>
          <w:p w:rsidR="00695C45" w:rsidRPr="005370E5" w:rsidRDefault="00695C45" w:rsidP="007B46C0">
            <w:pPr>
              <w:outlineLvl w:val="0"/>
              <w:rPr>
                <w:rFonts w:ascii="Times New Roman" w:hAnsi="Times New Roman"/>
                <w:sz w:val="24"/>
                <w:szCs w:val="24"/>
              </w:rPr>
            </w:pPr>
            <w:r>
              <w:rPr>
                <w:rFonts w:ascii="Times New Roman" w:hAnsi="Times New Roman"/>
                <w:sz w:val="24"/>
                <w:szCs w:val="24"/>
              </w:rPr>
              <w:t>Наличие общей информации об организации культуры на официальном сайте организации культуры в сети «Интернет» в соответствии с приказом Минкультуры России от 20.02.2015 № 277 «Об утверждении требование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10</w:t>
            </w:r>
          </w:p>
        </w:tc>
      </w:tr>
      <w:tr w:rsidR="00695C45" w:rsidRPr="005370E5" w:rsidTr="006F50BB">
        <w:trPr>
          <w:trHeight w:val="660"/>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1.3</w:t>
            </w:r>
          </w:p>
        </w:tc>
        <w:tc>
          <w:tcPr>
            <w:tcW w:w="6050" w:type="dxa"/>
          </w:tcPr>
          <w:p w:rsidR="00695C45" w:rsidRDefault="00695C45" w:rsidP="007B46C0">
            <w:pPr>
              <w:outlineLvl w:val="0"/>
              <w:rPr>
                <w:rFonts w:ascii="Times New Roman" w:hAnsi="Times New Roman"/>
                <w:sz w:val="24"/>
                <w:szCs w:val="24"/>
              </w:rPr>
            </w:pPr>
            <w:r>
              <w:rPr>
                <w:rFonts w:ascii="Times New Roman" w:hAnsi="Times New Roman"/>
                <w:sz w:val="24"/>
                <w:szCs w:val="24"/>
              </w:rPr>
              <w:t>Доступность и актуальность информации о деятельности организации культуры, размещенной на территории организации</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10</w:t>
            </w:r>
          </w:p>
        </w:tc>
      </w:tr>
      <w:tr w:rsidR="00695C45" w:rsidRPr="005370E5" w:rsidTr="00D416F0">
        <w:trPr>
          <w:trHeight w:val="420"/>
        </w:trPr>
        <w:tc>
          <w:tcPr>
            <w:tcW w:w="862" w:type="dxa"/>
          </w:tcPr>
          <w:p w:rsidR="00695C45" w:rsidRPr="005370E5" w:rsidRDefault="00695C45" w:rsidP="009C7F24">
            <w:pPr>
              <w:jc w:val="center"/>
              <w:outlineLvl w:val="0"/>
              <w:rPr>
                <w:rFonts w:ascii="Times New Roman" w:hAnsi="Times New Roman"/>
                <w:sz w:val="24"/>
                <w:szCs w:val="24"/>
              </w:rPr>
            </w:pPr>
            <w:r w:rsidRPr="005370E5">
              <w:rPr>
                <w:rFonts w:ascii="Times New Roman" w:hAnsi="Times New Roman"/>
                <w:sz w:val="24"/>
                <w:szCs w:val="24"/>
              </w:rPr>
              <w:t>2</w:t>
            </w:r>
          </w:p>
        </w:tc>
        <w:tc>
          <w:tcPr>
            <w:tcW w:w="8534" w:type="dxa"/>
            <w:gridSpan w:val="2"/>
          </w:tcPr>
          <w:p w:rsidR="00695C45" w:rsidRPr="005370E5" w:rsidRDefault="00695C45" w:rsidP="009C7F24">
            <w:pPr>
              <w:jc w:val="center"/>
              <w:outlineLvl w:val="0"/>
              <w:rPr>
                <w:rFonts w:ascii="Times New Roman" w:hAnsi="Times New Roman"/>
                <w:sz w:val="24"/>
                <w:szCs w:val="24"/>
              </w:rPr>
            </w:pPr>
            <w:r w:rsidRPr="005370E5">
              <w:rPr>
                <w:rFonts w:ascii="Times New Roman" w:hAnsi="Times New Roman"/>
                <w:sz w:val="24"/>
                <w:szCs w:val="24"/>
              </w:rPr>
              <w:t>Показатели, характеризующие общий критерий оценки качества деятельности учреждений культуры, касающиеся комфортности условий предоставлений услуг и доступности их получения.</w:t>
            </w:r>
          </w:p>
        </w:tc>
      </w:tr>
      <w:tr w:rsidR="00695C45" w:rsidRPr="005370E5" w:rsidTr="006F50BB">
        <w:trPr>
          <w:trHeight w:val="420"/>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2.1</w:t>
            </w:r>
          </w:p>
        </w:tc>
        <w:tc>
          <w:tcPr>
            <w:tcW w:w="6050" w:type="dxa"/>
          </w:tcPr>
          <w:p w:rsidR="00695C45" w:rsidRPr="005370E5" w:rsidRDefault="00695C45" w:rsidP="009C7F24">
            <w:pPr>
              <w:outlineLvl w:val="0"/>
              <w:rPr>
                <w:rFonts w:ascii="Times New Roman" w:hAnsi="Times New Roman"/>
                <w:sz w:val="24"/>
                <w:szCs w:val="24"/>
              </w:rPr>
            </w:pPr>
            <w:r>
              <w:rPr>
                <w:rFonts w:ascii="Times New Roman" w:hAnsi="Times New Roman"/>
                <w:sz w:val="24"/>
                <w:szCs w:val="24"/>
              </w:rPr>
              <w:t>Доступность услуг для лиц с ограниченными возможностями здоровья</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6</w:t>
            </w:r>
          </w:p>
        </w:tc>
      </w:tr>
      <w:tr w:rsidR="00695C45" w:rsidRPr="005370E5" w:rsidTr="006F50BB">
        <w:trPr>
          <w:trHeight w:val="420"/>
        </w:trPr>
        <w:tc>
          <w:tcPr>
            <w:tcW w:w="862" w:type="dxa"/>
          </w:tcPr>
          <w:p w:rsidR="00695C45" w:rsidRPr="005370E5" w:rsidRDefault="00695C45" w:rsidP="009C7F24">
            <w:pPr>
              <w:jc w:val="center"/>
              <w:outlineLvl w:val="0"/>
              <w:rPr>
                <w:rFonts w:ascii="Times New Roman" w:hAnsi="Times New Roman"/>
                <w:sz w:val="24"/>
                <w:szCs w:val="24"/>
              </w:rPr>
            </w:pPr>
          </w:p>
        </w:tc>
        <w:tc>
          <w:tcPr>
            <w:tcW w:w="6050" w:type="dxa"/>
          </w:tcPr>
          <w:p w:rsidR="00695C45" w:rsidRPr="005370E5" w:rsidRDefault="00695C45" w:rsidP="009C7F24">
            <w:pPr>
              <w:outlineLvl w:val="0"/>
              <w:rPr>
                <w:rFonts w:ascii="Times New Roman" w:hAnsi="Times New Roman"/>
                <w:sz w:val="24"/>
                <w:szCs w:val="24"/>
              </w:rPr>
            </w:pPr>
            <w:r>
              <w:rPr>
                <w:rFonts w:ascii="Times New Roman" w:hAnsi="Times New Roman"/>
                <w:sz w:val="24"/>
                <w:szCs w:val="24"/>
              </w:rPr>
              <w:t>Удобство пользования электронными сервисами, предоставляемыми организацией культуры (в том числе с помощью мобильных устройств)</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4</w:t>
            </w:r>
          </w:p>
        </w:tc>
      </w:tr>
      <w:tr w:rsidR="00695C45" w:rsidRPr="005370E5" w:rsidTr="006F50BB">
        <w:trPr>
          <w:trHeight w:val="420"/>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2.2</w:t>
            </w:r>
          </w:p>
        </w:tc>
        <w:tc>
          <w:tcPr>
            <w:tcW w:w="6050" w:type="dxa"/>
          </w:tcPr>
          <w:p w:rsidR="00695C45" w:rsidRPr="005370E5" w:rsidRDefault="00695C45" w:rsidP="009C7F24">
            <w:pPr>
              <w:outlineLvl w:val="0"/>
              <w:rPr>
                <w:rFonts w:ascii="Times New Roman" w:hAnsi="Times New Roman"/>
                <w:sz w:val="24"/>
                <w:szCs w:val="24"/>
              </w:rPr>
            </w:pPr>
            <w:r>
              <w:rPr>
                <w:rFonts w:ascii="Times New Roman" w:hAnsi="Times New Roman"/>
                <w:sz w:val="24"/>
                <w:szCs w:val="24"/>
              </w:rPr>
              <w:t>Наличие дополнительных услуг и доступность их получения</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5</w:t>
            </w:r>
          </w:p>
        </w:tc>
      </w:tr>
      <w:tr w:rsidR="00695C45" w:rsidRPr="005370E5" w:rsidTr="006F50BB">
        <w:trPr>
          <w:trHeight w:val="420"/>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2.3</w:t>
            </w:r>
          </w:p>
        </w:tc>
        <w:tc>
          <w:tcPr>
            <w:tcW w:w="6050" w:type="dxa"/>
          </w:tcPr>
          <w:p w:rsidR="00695C45" w:rsidRPr="005370E5" w:rsidRDefault="00695C45" w:rsidP="009C7F24">
            <w:pPr>
              <w:outlineLvl w:val="0"/>
              <w:rPr>
                <w:rFonts w:ascii="Times New Roman" w:hAnsi="Times New Roman"/>
                <w:sz w:val="24"/>
                <w:szCs w:val="24"/>
              </w:rPr>
            </w:pPr>
            <w:r>
              <w:rPr>
                <w:rFonts w:ascii="Times New Roman" w:hAnsi="Times New Roman"/>
                <w:sz w:val="24"/>
                <w:szCs w:val="24"/>
              </w:rPr>
              <w:t>Удобство графика работы организации культуры</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6</w:t>
            </w:r>
          </w:p>
        </w:tc>
      </w:tr>
      <w:tr w:rsidR="00695C45" w:rsidRPr="005370E5" w:rsidTr="006F50BB">
        <w:trPr>
          <w:trHeight w:val="420"/>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2.4</w:t>
            </w:r>
          </w:p>
        </w:tc>
        <w:tc>
          <w:tcPr>
            <w:tcW w:w="6050" w:type="dxa"/>
          </w:tcPr>
          <w:p w:rsidR="00695C45" w:rsidRPr="005370E5" w:rsidRDefault="00695C45" w:rsidP="009C7F24">
            <w:pPr>
              <w:outlineLvl w:val="0"/>
              <w:rPr>
                <w:rFonts w:ascii="Times New Roman" w:hAnsi="Times New Roman"/>
                <w:sz w:val="24"/>
                <w:szCs w:val="24"/>
              </w:rPr>
            </w:pPr>
            <w:r>
              <w:rPr>
                <w:rFonts w:ascii="Times New Roman" w:hAnsi="Times New Roman"/>
                <w:sz w:val="24"/>
                <w:szCs w:val="24"/>
              </w:rPr>
              <w:t>Комфортность условий пребывания в организации культуры</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6</w:t>
            </w:r>
          </w:p>
        </w:tc>
      </w:tr>
      <w:tr w:rsidR="00695C45" w:rsidRPr="005370E5" w:rsidTr="00C31487">
        <w:trPr>
          <w:trHeight w:val="555"/>
        </w:trPr>
        <w:tc>
          <w:tcPr>
            <w:tcW w:w="862" w:type="dxa"/>
          </w:tcPr>
          <w:p w:rsidR="00695C45" w:rsidRPr="005370E5" w:rsidRDefault="00695C45" w:rsidP="009C7F24">
            <w:pPr>
              <w:jc w:val="center"/>
              <w:outlineLvl w:val="0"/>
              <w:rPr>
                <w:rFonts w:ascii="Times New Roman" w:hAnsi="Times New Roman"/>
                <w:sz w:val="24"/>
                <w:szCs w:val="24"/>
              </w:rPr>
            </w:pPr>
            <w:r w:rsidRPr="005370E5">
              <w:rPr>
                <w:rFonts w:ascii="Times New Roman" w:hAnsi="Times New Roman"/>
                <w:sz w:val="24"/>
                <w:szCs w:val="24"/>
              </w:rPr>
              <w:t>3</w:t>
            </w:r>
          </w:p>
        </w:tc>
        <w:tc>
          <w:tcPr>
            <w:tcW w:w="8534" w:type="dxa"/>
            <w:gridSpan w:val="2"/>
          </w:tcPr>
          <w:p w:rsidR="00695C45" w:rsidRPr="005370E5" w:rsidRDefault="00695C45" w:rsidP="009C7F24">
            <w:pPr>
              <w:jc w:val="center"/>
              <w:outlineLvl w:val="0"/>
              <w:rPr>
                <w:rFonts w:ascii="Times New Roman" w:hAnsi="Times New Roman"/>
                <w:sz w:val="24"/>
                <w:szCs w:val="24"/>
              </w:rPr>
            </w:pPr>
            <w:r w:rsidRPr="005370E5">
              <w:rPr>
                <w:rFonts w:ascii="Times New Roman" w:hAnsi="Times New Roman"/>
                <w:sz w:val="24"/>
                <w:szCs w:val="24"/>
              </w:rPr>
              <w:t>Показатели, характеризующие общий критерий оценки качества деятельности учреждений культуры, касающиеся времени ожидания предоставления услуги</w:t>
            </w:r>
          </w:p>
        </w:tc>
      </w:tr>
      <w:tr w:rsidR="00695C45" w:rsidRPr="005370E5" w:rsidTr="006F50BB">
        <w:trPr>
          <w:trHeight w:val="555"/>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3.1</w:t>
            </w:r>
          </w:p>
        </w:tc>
        <w:tc>
          <w:tcPr>
            <w:tcW w:w="6050" w:type="dxa"/>
          </w:tcPr>
          <w:p w:rsidR="00695C45" w:rsidRPr="005370E5" w:rsidRDefault="00695C45" w:rsidP="009C7F24">
            <w:pPr>
              <w:ind w:left="-108"/>
              <w:outlineLvl w:val="0"/>
              <w:rPr>
                <w:rFonts w:ascii="Times New Roman" w:hAnsi="Times New Roman"/>
                <w:sz w:val="24"/>
                <w:szCs w:val="24"/>
              </w:rPr>
            </w:pPr>
            <w:r>
              <w:rPr>
                <w:rFonts w:ascii="Times New Roman" w:hAnsi="Times New Roman"/>
                <w:sz w:val="24"/>
                <w:szCs w:val="24"/>
              </w:rPr>
              <w:t>Соблюдение режима работы организацией культуры</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7</w:t>
            </w:r>
          </w:p>
        </w:tc>
      </w:tr>
      <w:tr w:rsidR="00695C45" w:rsidRPr="005370E5" w:rsidTr="006F50BB">
        <w:trPr>
          <w:trHeight w:val="555"/>
        </w:trPr>
        <w:tc>
          <w:tcPr>
            <w:tcW w:w="862" w:type="dxa"/>
          </w:tcPr>
          <w:p w:rsidR="00695C45" w:rsidRPr="005370E5" w:rsidRDefault="00695C45" w:rsidP="009C7F24">
            <w:pPr>
              <w:jc w:val="center"/>
              <w:outlineLvl w:val="0"/>
              <w:rPr>
                <w:rFonts w:ascii="Times New Roman" w:hAnsi="Times New Roman"/>
                <w:sz w:val="24"/>
                <w:szCs w:val="24"/>
              </w:rPr>
            </w:pPr>
          </w:p>
        </w:tc>
        <w:tc>
          <w:tcPr>
            <w:tcW w:w="6050" w:type="dxa"/>
          </w:tcPr>
          <w:p w:rsidR="00695C45" w:rsidRPr="005370E5" w:rsidRDefault="00695C45" w:rsidP="009C7F24">
            <w:pPr>
              <w:ind w:left="-108"/>
              <w:outlineLvl w:val="0"/>
              <w:rPr>
                <w:rFonts w:ascii="Times New Roman" w:hAnsi="Times New Roman"/>
                <w:sz w:val="24"/>
                <w:szCs w:val="24"/>
              </w:rPr>
            </w:pPr>
            <w:r>
              <w:rPr>
                <w:rFonts w:ascii="Times New Roman" w:hAnsi="Times New Roman"/>
                <w:sz w:val="24"/>
                <w:szCs w:val="24"/>
              </w:rPr>
              <w:t>Соблюдение установленных (заявленных) сроков предоставления услуг организацией культуры</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6</w:t>
            </w:r>
          </w:p>
        </w:tc>
      </w:tr>
      <w:tr w:rsidR="00695C45" w:rsidRPr="005370E5" w:rsidTr="002337EB">
        <w:trPr>
          <w:trHeight w:val="1140"/>
        </w:trPr>
        <w:tc>
          <w:tcPr>
            <w:tcW w:w="862" w:type="dxa"/>
          </w:tcPr>
          <w:p w:rsidR="00695C45" w:rsidRPr="005370E5" w:rsidRDefault="00695C45" w:rsidP="009C7F24">
            <w:pPr>
              <w:jc w:val="center"/>
              <w:outlineLvl w:val="0"/>
              <w:rPr>
                <w:rFonts w:ascii="Times New Roman" w:hAnsi="Times New Roman"/>
                <w:sz w:val="24"/>
                <w:szCs w:val="24"/>
              </w:rPr>
            </w:pPr>
            <w:r w:rsidRPr="005370E5">
              <w:rPr>
                <w:rFonts w:ascii="Times New Roman" w:hAnsi="Times New Roman"/>
                <w:sz w:val="24"/>
                <w:szCs w:val="24"/>
              </w:rPr>
              <w:t>4</w:t>
            </w:r>
          </w:p>
        </w:tc>
        <w:tc>
          <w:tcPr>
            <w:tcW w:w="8534" w:type="dxa"/>
            <w:gridSpan w:val="2"/>
          </w:tcPr>
          <w:p w:rsidR="00695C45" w:rsidRPr="005370E5" w:rsidRDefault="00695C45" w:rsidP="009C7F24">
            <w:pPr>
              <w:jc w:val="center"/>
              <w:outlineLvl w:val="0"/>
              <w:rPr>
                <w:rFonts w:ascii="Times New Roman" w:hAnsi="Times New Roman"/>
                <w:sz w:val="24"/>
                <w:szCs w:val="24"/>
              </w:rPr>
            </w:pPr>
            <w:r w:rsidRPr="005370E5">
              <w:rPr>
                <w:rFonts w:ascii="Times New Roman" w:hAnsi="Times New Roman"/>
                <w:sz w:val="24"/>
                <w:szCs w:val="24"/>
              </w:rPr>
              <w:t>Показатели, характеризующие общий критерий оценки качества деятельности учреждений культуры, касающиеся доброжелательности, вежливости, компетентности работников</w:t>
            </w:r>
          </w:p>
        </w:tc>
      </w:tr>
      <w:tr w:rsidR="00695C45" w:rsidRPr="005370E5" w:rsidTr="002C5053">
        <w:trPr>
          <w:trHeight w:val="699"/>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4.1</w:t>
            </w:r>
          </w:p>
        </w:tc>
        <w:tc>
          <w:tcPr>
            <w:tcW w:w="6050" w:type="dxa"/>
          </w:tcPr>
          <w:p w:rsidR="00695C45" w:rsidRPr="005370E5" w:rsidRDefault="00695C45" w:rsidP="009C7F24">
            <w:pPr>
              <w:outlineLvl w:val="0"/>
              <w:rPr>
                <w:rFonts w:ascii="Times New Roman" w:hAnsi="Times New Roman"/>
                <w:sz w:val="24"/>
                <w:szCs w:val="24"/>
              </w:rPr>
            </w:pPr>
            <w:r>
              <w:rPr>
                <w:rFonts w:ascii="Times New Roman" w:hAnsi="Times New Roman"/>
                <w:sz w:val="24"/>
                <w:szCs w:val="24"/>
              </w:rPr>
              <w:t>Доброжелательность и вежливость персонала организации культуры</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7</w:t>
            </w:r>
          </w:p>
        </w:tc>
      </w:tr>
      <w:tr w:rsidR="00695C45" w:rsidRPr="005370E5" w:rsidTr="002C5053">
        <w:trPr>
          <w:trHeight w:val="561"/>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4.2</w:t>
            </w:r>
          </w:p>
        </w:tc>
        <w:tc>
          <w:tcPr>
            <w:tcW w:w="6050" w:type="dxa"/>
          </w:tcPr>
          <w:p w:rsidR="00695C45" w:rsidRPr="005370E5" w:rsidRDefault="00695C45" w:rsidP="009C7F24">
            <w:pPr>
              <w:outlineLvl w:val="0"/>
              <w:rPr>
                <w:rFonts w:ascii="Times New Roman" w:hAnsi="Times New Roman"/>
                <w:sz w:val="24"/>
                <w:szCs w:val="24"/>
              </w:rPr>
            </w:pPr>
            <w:r>
              <w:rPr>
                <w:rFonts w:ascii="Times New Roman" w:hAnsi="Times New Roman"/>
                <w:sz w:val="24"/>
                <w:szCs w:val="24"/>
              </w:rPr>
              <w:t>Компетентность персонала организации культуры</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6</w:t>
            </w:r>
          </w:p>
        </w:tc>
      </w:tr>
      <w:tr w:rsidR="00695C45" w:rsidRPr="005370E5" w:rsidTr="00FB5515">
        <w:trPr>
          <w:trHeight w:val="1140"/>
        </w:trPr>
        <w:tc>
          <w:tcPr>
            <w:tcW w:w="862" w:type="dxa"/>
          </w:tcPr>
          <w:p w:rsidR="00695C45" w:rsidRPr="005370E5" w:rsidRDefault="00695C45" w:rsidP="009C7F24">
            <w:pPr>
              <w:jc w:val="center"/>
              <w:outlineLvl w:val="0"/>
              <w:rPr>
                <w:rFonts w:ascii="Times New Roman" w:hAnsi="Times New Roman"/>
                <w:sz w:val="24"/>
                <w:szCs w:val="24"/>
              </w:rPr>
            </w:pPr>
            <w:r w:rsidRPr="005370E5">
              <w:rPr>
                <w:rFonts w:ascii="Times New Roman" w:hAnsi="Times New Roman"/>
                <w:sz w:val="24"/>
                <w:szCs w:val="24"/>
              </w:rPr>
              <w:t>5</w:t>
            </w:r>
          </w:p>
        </w:tc>
        <w:tc>
          <w:tcPr>
            <w:tcW w:w="8534" w:type="dxa"/>
            <w:gridSpan w:val="2"/>
          </w:tcPr>
          <w:p w:rsidR="00695C45" w:rsidRPr="005370E5" w:rsidRDefault="00695C45" w:rsidP="009C7F24">
            <w:pPr>
              <w:jc w:val="center"/>
              <w:outlineLvl w:val="0"/>
              <w:rPr>
                <w:rFonts w:ascii="Times New Roman" w:hAnsi="Times New Roman"/>
                <w:sz w:val="24"/>
                <w:szCs w:val="24"/>
              </w:rPr>
            </w:pPr>
            <w:r w:rsidRPr="005370E5">
              <w:rPr>
                <w:rFonts w:ascii="Times New Roman" w:hAnsi="Times New Roman"/>
                <w:sz w:val="24"/>
                <w:szCs w:val="24"/>
              </w:rPr>
              <w:t>Показатели, характеризующие общий критерий оценки качества деятельности учреждений культуры, касающиеся удовлетворенности качеством услуг учреждений культуры</w:t>
            </w:r>
          </w:p>
        </w:tc>
      </w:tr>
      <w:tr w:rsidR="00695C45" w:rsidRPr="005370E5" w:rsidTr="002C5053">
        <w:trPr>
          <w:trHeight w:val="633"/>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5.1</w:t>
            </w:r>
          </w:p>
        </w:tc>
        <w:tc>
          <w:tcPr>
            <w:tcW w:w="6050" w:type="dxa"/>
          </w:tcPr>
          <w:p w:rsidR="00695C45" w:rsidRPr="005370E5" w:rsidRDefault="00695C45" w:rsidP="009C7F24">
            <w:pPr>
              <w:ind w:left="-108"/>
              <w:outlineLvl w:val="0"/>
              <w:rPr>
                <w:rFonts w:ascii="Times New Roman" w:hAnsi="Times New Roman"/>
                <w:sz w:val="24"/>
                <w:szCs w:val="24"/>
              </w:rPr>
            </w:pPr>
            <w:r>
              <w:rPr>
                <w:rFonts w:ascii="Times New Roman" w:hAnsi="Times New Roman"/>
                <w:sz w:val="24"/>
                <w:szCs w:val="24"/>
              </w:rPr>
              <w:t>Общая удовлетворенность качеством оказания услуг организацией культуры</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6</w:t>
            </w:r>
          </w:p>
        </w:tc>
      </w:tr>
      <w:tr w:rsidR="00695C45" w:rsidRPr="005370E5" w:rsidTr="002C5053">
        <w:trPr>
          <w:trHeight w:val="633"/>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5.2</w:t>
            </w:r>
          </w:p>
        </w:tc>
        <w:tc>
          <w:tcPr>
            <w:tcW w:w="6050" w:type="dxa"/>
          </w:tcPr>
          <w:p w:rsidR="00695C45" w:rsidRPr="005370E5" w:rsidRDefault="00695C45" w:rsidP="002C5053">
            <w:pPr>
              <w:ind w:left="-108"/>
              <w:outlineLvl w:val="0"/>
              <w:rPr>
                <w:rFonts w:ascii="Times New Roman" w:hAnsi="Times New Roman"/>
                <w:sz w:val="24"/>
                <w:szCs w:val="24"/>
              </w:rPr>
            </w:pPr>
            <w:r>
              <w:rPr>
                <w:rFonts w:ascii="Times New Roman" w:hAnsi="Times New Roman"/>
                <w:sz w:val="24"/>
                <w:szCs w:val="24"/>
              </w:rPr>
              <w:t>Удовлетворенность материально-техническим обеспечением организации культуры</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5</w:t>
            </w:r>
          </w:p>
        </w:tc>
      </w:tr>
      <w:tr w:rsidR="00695C45" w:rsidRPr="005370E5" w:rsidTr="002C5053">
        <w:trPr>
          <w:trHeight w:val="633"/>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5.3</w:t>
            </w:r>
          </w:p>
        </w:tc>
        <w:tc>
          <w:tcPr>
            <w:tcW w:w="6050" w:type="dxa"/>
          </w:tcPr>
          <w:p w:rsidR="00695C45" w:rsidRPr="005370E5" w:rsidRDefault="00695C45" w:rsidP="009C7F24">
            <w:pPr>
              <w:ind w:left="-108"/>
              <w:outlineLvl w:val="0"/>
              <w:rPr>
                <w:rFonts w:ascii="Times New Roman" w:hAnsi="Times New Roman"/>
                <w:sz w:val="24"/>
                <w:szCs w:val="24"/>
              </w:rPr>
            </w:pPr>
            <w:r>
              <w:rPr>
                <w:rFonts w:ascii="Times New Roman" w:hAnsi="Times New Roman"/>
                <w:sz w:val="24"/>
                <w:szCs w:val="24"/>
              </w:rPr>
              <w:t>Удовлетворенность качеством и содержанием полиграфических материалов организации культуры</w:t>
            </w:r>
          </w:p>
        </w:tc>
        <w:tc>
          <w:tcPr>
            <w:tcW w:w="2484"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5</w:t>
            </w:r>
          </w:p>
        </w:tc>
      </w:tr>
      <w:tr w:rsidR="00695C45" w:rsidRPr="005370E5" w:rsidTr="002C5053">
        <w:trPr>
          <w:trHeight w:val="633"/>
        </w:trPr>
        <w:tc>
          <w:tcPr>
            <w:tcW w:w="862" w:type="dxa"/>
          </w:tcPr>
          <w:p w:rsidR="00695C45" w:rsidRPr="005370E5" w:rsidRDefault="00695C45" w:rsidP="009C7F24">
            <w:pPr>
              <w:jc w:val="center"/>
              <w:outlineLvl w:val="0"/>
              <w:rPr>
                <w:rFonts w:ascii="Times New Roman" w:hAnsi="Times New Roman"/>
                <w:sz w:val="24"/>
                <w:szCs w:val="24"/>
              </w:rPr>
            </w:pPr>
            <w:r>
              <w:rPr>
                <w:rFonts w:ascii="Times New Roman" w:hAnsi="Times New Roman"/>
                <w:sz w:val="24"/>
                <w:szCs w:val="24"/>
              </w:rPr>
              <w:t>5.4</w:t>
            </w:r>
          </w:p>
        </w:tc>
        <w:tc>
          <w:tcPr>
            <w:tcW w:w="6050" w:type="dxa"/>
          </w:tcPr>
          <w:p w:rsidR="00695C45" w:rsidRDefault="00695C45" w:rsidP="009C7F24">
            <w:pPr>
              <w:ind w:left="-108"/>
              <w:outlineLvl w:val="0"/>
              <w:rPr>
                <w:rFonts w:ascii="Times New Roman" w:hAnsi="Times New Roman"/>
                <w:sz w:val="24"/>
                <w:szCs w:val="24"/>
              </w:rPr>
            </w:pPr>
            <w:r>
              <w:rPr>
                <w:rFonts w:ascii="Times New Roman" w:hAnsi="Times New Roman"/>
                <w:sz w:val="24"/>
                <w:szCs w:val="24"/>
              </w:rPr>
              <w:t>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w:t>
            </w:r>
          </w:p>
        </w:tc>
        <w:tc>
          <w:tcPr>
            <w:tcW w:w="2484" w:type="dxa"/>
          </w:tcPr>
          <w:p w:rsidR="00695C45" w:rsidRDefault="00695C45" w:rsidP="009C7F24">
            <w:pPr>
              <w:jc w:val="center"/>
              <w:outlineLvl w:val="0"/>
              <w:rPr>
                <w:rFonts w:ascii="Times New Roman" w:hAnsi="Times New Roman"/>
                <w:sz w:val="24"/>
                <w:szCs w:val="24"/>
              </w:rPr>
            </w:pPr>
            <w:r>
              <w:rPr>
                <w:rFonts w:ascii="Times New Roman" w:hAnsi="Times New Roman"/>
                <w:sz w:val="24"/>
                <w:szCs w:val="24"/>
              </w:rPr>
              <w:t>1</w:t>
            </w:r>
          </w:p>
        </w:tc>
      </w:tr>
    </w:tbl>
    <w:p w:rsidR="00695C45" w:rsidRPr="005370E5" w:rsidRDefault="00695C45" w:rsidP="002747A5">
      <w:pPr>
        <w:pStyle w:val="ListParagraph"/>
        <w:spacing w:after="0" w:line="240" w:lineRule="auto"/>
        <w:ind w:left="0"/>
        <w:jc w:val="both"/>
        <w:rPr>
          <w:rFonts w:ascii="Times New Roman" w:hAnsi="Times New Roman"/>
          <w:b/>
          <w:sz w:val="24"/>
          <w:szCs w:val="24"/>
        </w:rPr>
      </w:pPr>
    </w:p>
    <w:p w:rsidR="00695C45" w:rsidRPr="005370E5" w:rsidRDefault="00695C45" w:rsidP="002747A5">
      <w:pPr>
        <w:pStyle w:val="ListParagraph"/>
        <w:spacing w:after="0" w:line="240" w:lineRule="auto"/>
        <w:ind w:left="0"/>
        <w:jc w:val="both"/>
        <w:rPr>
          <w:rFonts w:ascii="Times New Roman" w:hAnsi="Times New Roman"/>
          <w:sz w:val="24"/>
          <w:szCs w:val="24"/>
        </w:rPr>
      </w:pPr>
    </w:p>
    <w:p w:rsidR="00695C45" w:rsidRPr="005370E5" w:rsidRDefault="00695C45" w:rsidP="002747A5">
      <w:pPr>
        <w:pStyle w:val="ListParagraph"/>
        <w:spacing w:after="0" w:line="240" w:lineRule="auto"/>
        <w:ind w:left="0"/>
        <w:jc w:val="both"/>
        <w:rPr>
          <w:rFonts w:ascii="Times New Roman" w:hAnsi="Times New Roman"/>
          <w:sz w:val="24"/>
          <w:szCs w:val="24"/>
        </w:rPr>
      </w:pPr>
    </w:p>
    <w:p w:rsidR="00695C45" w:rsidRDefault="00695C45" w:rsidP="002747A5">
      <w:pPr>
        <w:pStyle w:val="ListParagraph"/>
        <w:spacing w:after="0" w:line="240" w:lineRule="auto"/>
        <w:ind w:left="0"/>
        <w:jc w:val="both"/>
        <w:rPr>
          <w:rFonts w:ascii="Times New Roman" w:hAnsi="Times New Roman"/>
          <w:sz w:val="24"/>
          <w:szCs w:val="24"/>
        </w:rPr>
      </w:pPr>
      <w:bookmarkStart w:id="0" w:name="_GoBack"/>
      <w:bookmarkEnd w:id="0"/>
    </w:p>
    <w:sectPr w:rsidR="00695C45" w:rsidSect="005370E5">
      <w:pgSz w:w="11906" w:h="16838"/>
      <w:pgMar w:top="567" w:right="567" w:bottom="567"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6569"/>
    <w:multiLevelType w:val="hybridMultilevel"/>
    <w:tmpl w:val="8BEC53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727B0F"/>
    <w:multiLevelType w:val="hybridMultilevel"/>
    <w:tmpl w:val="6B38E208"/>
    <w:lvl w:ilvl="0" w:tplc="D364320E">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0C30B8"/>
    <w:multiLevelType w:val="hybridMultilevel"/>
    <w:tmpl w:val="3048A35E"/>
    <w:lvl w:ilvl="0" w:tplc="C4520C9C">
      <w:start w:val="3"/>
      <w:numFmt w:val="decimal"/>
      <w:lvlText w:val="%1"/>
      <w:lvlJc w:val="left"/>
      <w:pPr>
        <w:ind w:left="720" w:hanging="360"/>
      </w:pPr>
      <w:rPr>
        <w:rFonts w:eastAsia="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F1109E"/>
    <w:multiLevelType w:val="hybridMultilevel"/>
    <w:tmpl w:val="14382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CDC5E3B"/>
    <w:multiLevelType w:val="hybridMultilevel"/>
    <w:tmpl w:val="DC3800A2"/>
    <w:lvl w:ilvl="0" w:tplc="7DD60298">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1F5"/>
    <w:rsid w:val="00016BC9"/>
    <w:rsid w:val="000F2F2D"/>
    <w:rsid w:val="00122058"/>
    <w:rsid w:val="00152CC8"/>
    <w:rsid w:val="00172E49"/>
    <w:rsid w:val="001937F3"/>
    <w:rsid w:val="00214143"/>
    <w:rsid w:val="002337EB"/>
    <w:rsid w:val="002672F5"/>
    <w:rsid w:val="002747A5"/>
    <w:rsid w:val="002846EE"/>
    <w:rsid w:val="002C01BF"/>
    <w:rsid w:val="002C5053"/>
    <w:rsid w:val="002E2DED"/>
    <w:rsid w:val="003A01F5"/>
    <w:rsid w:val="003A7319"/>
    <w:rsid w:val="003A7EF9"/>
    <w:rsid w:val="003E008E"/>
    <w:rsid w:val="00435428"/>
    <w:rsid w:val="00464D7B"/>
    <w:rsid w:val="004804EF"/>
    <w:rsid w:val="004F72B8"/>
    <w:rsid w:val="005370E5"/>
    <w:rsid w:val="00555C8C"/>
    <w:rsid w:val="005A374A"/>
    <w:rsid w:val="005C1424"/>
    <w:rsid w:val="005D2636"/>
    <w:rsid w:val="00631F5D"/>
    <w:rsid w:val="00636DD1"/>
    <w:rsid w:val="006638DE"/>
    <w:rsid w:val="006719FF"/>
    <w:rsid w:val="00675E40"/>
    <w:rsid w:val="00676258"/>
    <w:rsid w:val="00694FD6"/>
    <w:rsid w:val="00695C45"/>
    <w:rsid w:val="006C6460"/>
    <w:rsid w:val="006F3ED9"/>
    <w:rsid w:val="006F50BB"/>
    <w:rsid w:val="00733757"/>
    <w:rsid w:val="00761F20"/>
    <w:rsid w:val="00767AE1"/>
    <w:rsid w:val="007A6319"/>
    <w:rsid w:val="007B37DD"/>
    <w:rsid w:val="007B46C0"/>
    <w:rsid w:val="007E2A45"/>
    <w:rsid w:val="0085579D"/>
    <w:rsid w:val="00870DF7"/>
    <w:rsid w:val="00895A94"/>
    <w:rsid w:val="008A337E"/>
    <w:rsid w:val="008A4A48"/>
    <w:rsid w:val="009152D5"/>
    <w:rsid w:val="00921FAB"/>
    <w:rsid w:val="00952050"/>
    <w:rsid w:val="009768B1"/>
    <w:rsid w:val="009C4ED0"/>
    <w:rsid w:val="009C7F24"/>
    <w:rsid w:val="00A24B7B"/>
    <w:rsid w:val="00A36B1D"/>
    <w:rsid w:val="00A46BFA"/>
    <w:rsid w:val="00A64738"/>
    <w:rsid w:val="00B06AF8"/>
    <w:rsid w:val="00B1013A"/>
    <w:rsid w:val="00BD3967"/>
    <w:rsid w:val="00C31487"/>
    <w:rsid w:val="00C76377"/>
    <w:rsid w:val="00CA1C74"/>
    <w:rsid w:val="00CB48C1"/>
    <w:rsid w:val="00CC4621"/>
    <w:rsid w:val="00CC51F1"/>
    <w:rsid w:val="00D04700"/>
    <w:rsid w:val="00D2159E"/>
    <w:rsid w:val="00D22F11"/>
    <w:rsid w:val="00D416F0"/>
    <w:rsid w:val="00D55165"/>
    <w:rsid w:val="00DA799D"/>
    <w:rsid w:val="00DB2F5C"/>
    <w:rsid w:val="00DF0493"/>
    <w:rsid w:val="00E046AE"/>
    <w:rsid w:val="00E04DCB"/>
    <w:rsid w:val="00E06CA3"/>
    <w:rsid w:val="00E54B4F"/>
    <w:rsid w:val="00EC08FD"/>
    <w:rsid w:val="00EC0E4D"/>
    <w:rsid w:val="00F32320"/>
    <w:rsid w:val="00F406DF"/>
    <w:rsid w:val="00F65EA8"/>
    <w:rsid w:val="00F7760B"/>
    <w:rsid w:val="00F80618"/>
    <w:rsid w:val="00FB2BD4"/>
    <w:rsid w:val="00FB5515"/>
    <w:rsid w:val="00FD4C8C"/>
    <w:rsid w:val="00FD57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3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5A94"/>
    <w:pPr>
      <w:ind w:left="720"/>
      <w:contextualSpacing/>
    </w:pPr>
  </w:style>
  <w:style w:type="paragraph" w:styleId="BalloonText">
    <w:name w:val="Balloon Text"/>
    <w:basedOn w:val="Normal"/>
    <w:link w:val="BalloonTextChar"/>
    <w:uiPriority w:val="99"/>
    <w:semiHidden/>
    <w:rsid w:val="00E04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4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370</TotalTime>
  <Pages>4</Pages>
  <Words>1136</Words>
  <Characters>6481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34</cp:revision>
  <cp:lastPrinted>2017-12-28T03:59:00Z</cp:lastPrinted>
  <dcterms:created xsi:type="dcterms:W3CDTF">2016-12-28T10:28:00Z</dcterms:created>
  <dcterms:modified xsi:type="dcterms:W3CDTF">2018-12-23T06:45:00Z</dcterms:modified>
</cp:coreProperties>
</file>