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87CC2" w:rsidP="00B87FB2">
      <w:pPr>
        <w:rPr>
          <w:sz w:val="28"/>
          <w:szCs w:val="28"/>
        </w:rPr>
      </w:pPr>
    </w:p>
    <w:p w:rsidR="00387CC2" w:rsidRDefault="00387CC2" w:rsidP="00B87FB2">
      <w:pPr>
        <w:rPr>
          <w:sz w:val="28"/>
          <w:szCs w:val="28"/>
        </w:rPr>
      </w:pPr>
    </w:p>
    <w:p w:rsidR="00542125" w:rsidRPr="000F01C9" w:rsidRDefault="00185411" w:rsidP="00B87FB2">
      <w:pPr>
        <w:rPr>
          <w:sz w:val="28"/>
          <w:szCs w:val="28"/>
        </w:rPr>
      </w:pPr>
      <w:r>
        <w:rPr>
          <w:sz w:val="28"/>
          <w:szCs w:val="28"/>
        </w:rPr>
        <w:t>26</w:t>
      </w:r>
      <w:r w:rsidR="002E2292">
        <w:rPr>
          <w:sz w:val="28"/>
          <w:szCs w:val="28"/>
        </w:rPr>
        <w:t>.</w:t>
      </w:r>
      <w:r w:rsidR="00CB5A60">
        <w:rPr>
          <w:sz w:val="28"/>
          <w:szCs w:val="28"/>
        </w:rPr>
        <w:t>04</w:t>
      </w:r>
      <w:r w:rsidR="00DC1AE6" w:rsidRPr="000F01C9">
        <w:rPr>
          <w:sz w:val="28"/>
          <w:szCs w:val="28"/>
        </w:rPr>
        <w:t>.</w:t>
      </w:r>
      <w:r w:rsidR="00CB5A60">
        <w:rPr>
          <w:sz w:val="28"/>
          <w:szCs w:val="28"/>
        </w:rPr>
        <w:t>2023</w:t>
      </w:r>
      <w:r w:rsidR="00BD1771">
        <w:rPr>
          <w:sz w:val="28"/>
          <w:szCs w:val="28"/>
        </w:rPr>
        <w:t xml:space="preserve">                                                </w:t>
      </w:r>
      <w:r w:rsidR="00E41577">
        <w:rPr>
          <w:sz w:val="28"/>
          <w:szCs w:val="28"/>
        </w:rPr>
        <w:t xml:space="preserve">№  </w:t>
      </w:r>
      <w:r w:rsidR="00171F00">
        <w:rPr>
          <w:sz w:val="28"/>
          <w:szCs w:val="28"/>
        </w:rPr>
        <w:t>68</w:t>
      </w:r>
      <w:r w:rsidR="0038118A" w:rsidRPr="000F01C9">
        <w:rPr>
          <w:sz w:val="28"/>
          <w:szCs w:val="28"/>
        </w:rPr>
        <w:t xml:space="preserve"> </w:t>
      </w:r>
      <w:r w:rsidR="00BD1771">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w:t>
      </w:r>
      <w:r w:rsidR="00E319B4" w:rsidRPr="00E319B4">
        <w:rPr>
          <w:bCs/>
          <w:color w:val="000000"/>
          <w:sz w:val="28"/>
          <w:szCs w:val="28"/>
        </w:rPr>
        <w:t>й</w:t>
      </w:r>
      <w:r w:rsidRPr="000F01C9">
        <w:rPr>
          <w:sz w:val="28"/>
          <w:szCs w:val="28"/>
        </w:rPr>
        <w:t xml:space="preserve">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r w:rsidR="002E2292">
        <w:rPr>
          <w:kern w:val="2"/>
          <w:sz w:val="28"/>
          <w:szCs w:val="28"/>
        </w:rPr>
        <w:t>Тарцан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185411">
        <w:rPr>
          <w:sz w:val="28"/>
          <w:szCs w:val="28"/>
        </w:rPr>
        <w:t>26</w:t>
      </w:r>
      <w:r w:rsidR="00CB5A60">
        <w:rPr>
          <w:sz w:val="28"/>
          <w:szCs w:val="28"/>
        </w:rPr>
        <w:t>.04.2023</w:t>
      </w:r>
      <w:r w:rsidR="00332C18" w:rsidRPr="000F01C9">
        <w:rPr>
          <w:sz w:val="28"/>
          <w:szCs w:val="28"/>
        </w:rPr>
        <w:t xml:space="preserve"> №</w:t>
      </w:r>
      <w:r w:rsidR="00171F00">
        <w:rPr>
          <w:sz w:val="28"/>
          <w:szCs w:val="28"/>
        </w:rPr>
        <w:t>68</w:t>
      </w:r>
      <w:bookmarkStart w:id="0" w:name="_GoBack"/>
      <w:bookmarkEnd w:id="0"/>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CB5A60">
              <w:rPr>
                <w:sz w:val="28"/>
                <w:szCs w:val="28"/>
              </w:rPr>
              <w:t>3344</w:t>
            </w:r>
            <w:r w:rsidR="008D34F1">
              <w:rPr>
                <w:sz w:val="28"/>
                <w:szCs w:val="28"/>
              </w:rPr>
              <w:t>6</w:t>
            </w:r>
            <w:r w:rsidR="002E2292">
              <w:rPr>
                <w:sz w:val="28"/>
                <w:szCs w:val="28"/>
              </w:rPr>
              <w:t>,5</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Pr="000F01C9">
              <w:rPr>
                <w:sz w:val="28"/>
                <w:szCs w:val="28"/>
              </w:rPr>
              <w:t>тыс. рублей;</w:t>
            </w:r>
          </w:p>
          <w:p w:rsidR="00332C18" w:rsidRDefault="00332C18" w:rsidP="00FA40A5">
            <w:pPr>
              <w:jc w:val="both"/>
              <w:rPr>
                <w:sz w:val="28"/>
                <w:szCs w:val="28"/>
              </w:rPr>
            </w:pPr>
            <w:r w:rsidRPr="000F01C9">
              <w:rPr>
                <w:sz w:val="28"/>
                <w:szCs w:val="28"/>
              </w:rPr>
              <w:t xml:space="preserve">в 2023 году –    </w:t>
            </w:r>
            <w:r w:rsidR="00CB5A60">
              <w:rPr>
                <w:sz w:val="28"/>
                <w:szCs w:val="28"/>
              </w:rPr>
              <w:t>3853,9</w:t>
            </w:r>
            <w:r w:rsidRPr="000F01C9">
              <w:rPr>
                <w:sz w:val="28"/>
                <w:szCs w:val="28"/>
              </w:rPr>
              <w:t>тыс. рублей;</w:t>
            </w:r>
            <w:r w:rsidR="00CB5A60">
              <w:rPr>
                <w:sz w:val="28"/>
                <w:szCs w:val="28"/>
              </w:rPr>
              <w:t xml:space="preserve"> в том числе за счет средств районного бюджета 150,0 тыс. рублей.</w:t>
            </w:r>
          </w:p>
          <w:p w:rsidR="00CB5A60" w:rsidRPr="000F01C9" w:rsidRDefault="00CB5A60" w:rsidP="00FA40A5">
            <w:pPr>
              <w:jc w:val="both"/>
              <w:rPr>
                <w:sz w:val="28"/>
                <w:szCs w:val="28"/>
              </w:rPr>
            </w:pPr>
            <w:r>
              <w:rPr>
                <w:sz w:val="28"/>
                <w:szCs w:val="28"/>
              </w:rPr>
              <w:t>За счет средств местного бюджета 3703,9 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CB5A60">
              <w:rPr>
                <w:sz w:val="28"/>
                <w:szCs w:val="28"/>
              </w:rPr>
              <w:t>т средств районного бюджета – 89</w:t>
            </w:r>
            <w:r w:rsidRPr="000F01C9">
              <w:rPr>
                <w:sz w:val="28"/>
                <w:szCs w:val="28"/>
              </w:rPr>
              <w:t xml:space="preserve">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A1C25">
              <w:rPr>
                <w:sz w:val="28"/>
                <w:szCs w:val="28"/>
              </w:rPr>
              <w:t>3255</w:t>
            </w:r>
            <w:r w:rsidR="00487CCF">
              <w:rPr>
                <w:sz w:val="28"/>
                <w:szCs w:val="28"/>
              </w:rPr>
              <w:t>1,9</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0,0тыс.руб.,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99180E">
              <w:rPr>
                <w:sz w:val="28"/>
                <w:szCs w:val="28"/>
              </w:rPr>
              <w:t>33215</w:t>
            </w:r>
            <w:r w:rsidR="00ED5F8B" w:rsidRPr="0099180E">
              <w:rPr>
                <w:sz w:val="28"/>
                <w:szCs w:val="28"/>
              </w:rPr>
              <w:t>,10</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Default="00332C18" w:rsidP="00FA40A5">
            <w:pPr>
              <w:jc w:val="both"/>
              <w:rPr>
                <w:sz w:val="28"/>
                <w:szCs w:val="28"/>
              </w:rPr>
            </w:pPr>
            <w:r w:rsidRPr="000F01C9">
              <w:rPr>
                <w:sz w:val="28"/>
                <w:szCs w:val="28"/>
              </w:rPr>
              <w:t xml:space="preserve">в 2023 году –    </w:t>
            </w:r>
            <w:r w:rsidR="0099180E">
              <w:rPr>
                <w:sz w:val="28"/>
                <w:szCs w:val="28"/>
              </w:rPr>
              <w:t>3833,9</w:t>
            </w:r>
            <w:r w:rsidRPr="000F01C9">
              <w:rPr>
                <w:sz w:val="28"/>
                <w:szCs w:val="28"/>
              </w:rPr>
              <w:t>тыс. рублей;</w:t>
            </w:r>
            <w:r w:rsidR="0099180E">
              <w:rPr>
                <w:sz w:val="28"/>
                <w:szCs w:val="28"/>
              </w:rPr>
              <w:t xml:space="preserve"> в том числе:</w:t>
            </w:r>
          </w:p>
          <w:p w:rsidR="0099180E" w:rsidRDefault="0099180E" w:rsidP="00FA40A5">
            <w:pPr>
              <w:jc w:val="both"/>
              <w:rPr>
                <w:sz w:val="28"/>
                <w:szCs w:val="28"/>
              </w:rPr>
            </w:pPr>
            <w:r>
              <w:rPr>
                <w:sz w:val="28"/>
                <w:szCs w:val="28"/>
              </w:rPr>
              <w:t>местный бюджет - 3683,9 тыс. рублей;</w:t>
            </w:r>
          </w:p>
          <w:p w:rsidR="0099180E" w:rsidRPr="000F01C9" w:rsidRDefault="0099180E" w:rsidP="00FA40A5">
            <w:pPr>
              <w:jc w:val="both"/>
              <w:rPr>
                <w:sz w:val="28"/>
                <w:szCs w:val="28"/>
              </w:rPr>
            </w:pPr>
            <w:r>
              <w:rPr>
                <w:sz w:val="28"/>
                <w:szCs w:val="28"/>
              </w:rPr>
              <w:t>районный бюджет – 150,0 тыс. рублей.</w:t>
            </w:r>
          </w:p>
          <w:p w:rsidR="00332C18" w:rsidRPr="000F01C9" w:rsidRDefault="00332C18" w:rsidP="00FA40A5">
            <w:pPr>
              <w:jc w:val="both"/>
              <w:rPr>
                <w:sz w:val="28"/>
                <w:szCs w:val="28"/>
              </w:rPr>
            </w:pPr>
            <w:r w:rsidRPr="000F01C9">
              <w:rPr>
                <w:sz w:val="28"/>
                <w:szCs w:val="28"/>
              </w:rPr>
              <w:t xml:space="preserve">в 2024 году –    </w:t>
            </w:r>
            <w:r w:rsidR="0099180E">
              <w:rPr>
                <w:sz w:val="28"/>
                <w:szCs w:val="28"/>
              </w:rPr>
              <w:t>2944,1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99180E">
              <w:rPr>
                <w:sz w:val="28"/>
                <w:szCs w:val="28"/>
              </w:rPr>
              <w:t>редств районного бюджета – 894,6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F44013">
              <w:rPr>
                <w:sz w:val="28"/>
                <w:szCs w:val="28"/>
              </w:rPr>
              <w:t>32320,5</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r w:rsidRPr="000F01C9">
              <w:rPr>
                <w:rFonts w:eastAsia="Andale Sans UI"/>
                <w:kern w:val="1"/>
                <w:sz w:val="28"/>
                <w:szCs w:val="28"/>
                <w:lang w:val="de-DE" w:eastAsia="fa-IR" w:bidi="fa-IR"/>
              </w:rPr>
              <w:t>овышениекачествасредыдлясозданиякомфортных и безопасных условий проживания</w:t>
            </w:r>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жителей</w:t>
            </w:r>
            <w:r w:rsidRPr="000F01C9">
              <w:rPr>
                <w:rFonts w:eastAsia="Andale Sans UI"/>
                <w:kern w:val="1"/>
                <w:sz w:val="28"/>
                <w:szCs w:val="28"/>
                <w:lang w:eastAsia="fa-IR" w:bidi="fa-IR"/>
              </w:rPr>
              <w:t>поселения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 xml:space="preserve">,4 тыс.руб.,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99180E">
      <w:pPr>
        <w:tabs>
          <w:tab w:val="right" w:pos="14570"/>
        </w:tabs>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Ед</w:t>
            </w:r>
            <w:r w:rsidR="006A7454" w:rsidRPr="000F01C9">
              <w:rPr>
                <w:sz w:val="24"/>
                <w:szCs w:val="24"/>
              </w:rPr>
              <w:t>ица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Статисти-</w:t>
            </w:r>
          </w:p>
          <w:p w:rsidR="00D83559" w:rsidRPr="000F01C9" w:rsidRDefault="00D83559" w:rsidP="00D83559">
            <w:pPr>
              <w:autoSpaceDE w:val="0"/>
              <w:autoSpaceDN w:val="0"/>
              <w:adjustRightInd w:val="0"/>
              <w:rPr>
                <w:sz w:val="24"/>
                <w:szCs w:val="24"/>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t>Статисти-</w:t>
            </w:r>
          </w:p>
          <w:p w:rsidR="00D83559"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lastRenderedPageBreak/>
              <w:t>Статисти-</w:t>
            </w:r>
          </w:p>
          <w:p w:rsidR="0095653A"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95653A" w:rsidRPr="000F01C9" w:rsidRDefault="0095653A" w:rsidP="0095653A">
            <w:pPr>
              <w:autoSpaceDE w:val="0"/>
              <w:autoSpaceDN w:val="0"/>
              <w:adjustRightInd w:val="0"/>
              <w:rPr>
                <w:sz w:val="21"/>
                <w:szCs w:val="21"/>
              </w:rPr>
            </w:pPr>
            <w:r w:rsidRPr="000F01C9">
              <w:rPr>
                <w:sz w:val="21"/>
                <w:szCs w:val="21"/>
              </w:rPr>
              <w:t>Процен</w:t>
            </w:r>
          </w:p>
          <w:p w:rsidR="0095653A" w:rsidRPr="000F01C9" w:rsidRDefault="0095653A" w:rsidP="0095653A">
            <w:pPr>
              <w:autoSpaceDE w:val="0"/>
              <w:autoSpaceDN w:val="0"/>
              <w:adjustRightInd w:val="0"/>
              <w:rPr>
                <w:sz w:val="21"/>
                <w:szCs w:val="21"/>
              </w:rPr>
            </w:pPr>
            <w:r w:rsidRPr="000F01C9">
              <w:rPr>
                <w:sz w:val="21"/>
                <w:szCs w:val="21"/>
              </w:rPr>
              <w:t>тов</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rFonts w:eastAsia="Andale Sans UI"/>
                <w:kern w:val="1"/>
                <w:sz w:val="22"/>
                <w:szCs w:val="22"/>
                <w:lang w:eastAsia="fa-IR" w:bidi="fa-IR"/>
              </w:rPr>
              <w:t>с</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программеКрасноармейского сельск</w:t>
      </w:r>
      <w:r w:rsidRPr="000F01C9">
        <w:rPr>
          <w:sz w:val="24"/>
          <w:szCs w:val="24"/>
        </w:rPr>
        <w:t>о</w:t>
      </w:r>
      <w:r w:rsidRPr="000F01C9">
        <w:rPr>
          <w:sz w:val="24"/>
          <w:szCs w:val="24"/>
        </w:rPr>
        <w:t>го поселения Орловского района «Обеспечение качес</w:t>
      </w:r>
      <w:r w:rsidRPr="000F01C9">
        <w:rPr>
          <w:sz w:val="24"/>
          <w:szCs w:val="24"/>
        </w:rPr>
        <w:t>т</w:t>
      </w:r>
      <w:r w:rsidRPr="000F01C9">
        <w:rPr>
          <w:sz w:val="24"/>
          <w:szCs w:val="24"/>
        </w:rPr>
        <w:t>венными жилищно-коммунальными услугами населения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r w:rsidRPr="000F01C9">
              <w:rPr>
                <w:sz w:val="16"/>
                <w:szCs w:val="16"/>
              </w:rPr>
              <w:t>Пр</w:t>
            </w:r>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9180E" w:rsidP="009B2DF4">
            <w:pPr>
              <w:jc w:val="center"/>
              <w:rPr>
                <w:color w:val="000000"/>
                <w:sz w:val="16"/>
                <w:szCs w:val="16"/>
              </w:rPr>
            </w:pPr>
            <w:r>
              <w:rPr>
                <w:color w:val="000000"/>
                <w:sz w:val="16"/>
                <w:szCs w:val="16"/>
              </w:rPr>
              <w:t>33446,5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9180E" w:rsidP="009B2DF4">
            <w:pPr>
              <w:jc w:val="center"/>
              <w:rPr>
                <w:color w:val="000000"/>
                <w:sz w:val="16"/>
                <w:szCs w:val="16"/>
              </w:rPr>
            </w:pPr>
            <w:r>
              <w:rPr>
                <w:color w:val="000000"/>
                <w:sz w:val="16"/>
                <w:szCs w:val="16"/>
              </w:rPr>
              <w:t>3853,9</w:t>
            </w:r>
          </w:p>
        </w:tc>
        <w:tc>
          <w:tcPr>
            <w:tcW w:w="709" w:type="dxa"/>
            <w:vAlign w:val="center"/>
          </w:tcPr>
          <w:p w:rsidR="002D3004" w:rsidRPr="009B2DF4" w:rsidRDefault="0099180E" w:rsidP="009B2DF4">
            <w:pPr>
              <w:jc w:val="center"/>
              <w:rPr>
                <w:color w:val="000000"/>
                <w:sz w:val="16"/>
                <w:szCs w:val="16"/>
              </w:rPr>
            </w:pPr>
            <w:r>
              <w:rPr>
                <w:color w:val="000000"/>
                <w:sz w:val="16"/>
                <w:szCs w:val="16"/>
              </w:rPr>
              <w:t>2964,1</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99180E" w:rsidP="00554B7F">
            <w:pPr>
              <w:jc w:val="center"/>
              <w:rPr>
                <w:color w:val="000000"/>
                <w:sz w:val="16"/>
                <w:szCs w:val="16"/>
              </w:rPr>
            </w:pPr>
            <w:r>
              <w:rPr>
                <w:color w:val="000000"/>
                <w:sz w:val="16"/>
                <w:szCs w:val="16"/>
              </w:rPr>
              <w:t>33446,5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9180E" w:rsidP="009B2DF4">
            <w:pPr>
              <w:jc w:val="center"/>
              <w:rPr>
                <w:color w:val="000000"/>
                <w:sz w:val="16"/>
                <w:szCs w:val="16"/>
              </w:rPr>
            </w:pPr>
            <w:r>
              <w:rPr>
                <w:color w:val="000000"/>
                <w:sz w:val="16"/>
                <w:szCs w:val="16"/>
              </w:rPr>
              <w:t>3853,9</w:t>
            </w:r>
          </w:p>
        </w:tc>
        <w:tc>
          <w:tcPr>
            <w:tcW w:w="709" w:type="dxa"/>
            <w:vAlign w:val="center"/>
          </w:tcPr>
          <w:p w:rsidR="009B2DF4" w:rsidRPr="009B2DF4" w:rsidRDefault="0099180E" w:rsidP="009B2DF4">
            <w:pPr>
              <w:jc w:val="center"/>
              <w:rPr>
                <w:color w:val="000000"/>
                <w:sz w:val="16"/>
                <w:szCs w:val="16"/>
              </w:rPr>
            </w:pPr>
            <w:r>
              <w:rPr>
                <w:color w:val="000000"/>
                <w:sz w:val="16"/>
                <w:szCs w:val="16"/>
              </w:rPr>
              <w:t>2964,1</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9180E" w:rsidP="007F26B8">
            <w:pPr>
              <w:jc w:val="center"/>
              <w:rPr>
                <w:sz w:val="16"/>
                <w:szCs w:val="16"/>
              </w:rPr>
            </w:pPr>
            <w:r>
              <w:rPr>
                <w:sz w:val="16"/>
                <w:szCs w:val="16"/>
              </w:rPr>
              <w:t>3833,9</w:t>
            </w:r>
          </w:p>
        </w:tc>
        <w:tc>
          <w:tcPr>
            <w:tcW w:w="709" w:type="dxa"/>
            <w:vAlign w:val="center"/>
          </w:tcPr>
          <w:p w:rsidR="009B2DF4" w:rsidRPr="00685B13" w:rsidRDefault="0078076F" w:rsidP="007F26B8">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9180E" w:rsidP="002D3004">
            <w:pPr>
              <w:jc w:val="center"/>
              <w:rPr>
                <w:sz w:val="16"/>
                <w:szCs w:val="16"/>
              </w:rPr>
            </w:pPr>
            <w:r>
              <w:rPr>
                <w:sz w:val="16"/>
                <w:szCs w:val="16"/>
              </w:rPr>
              <w:t>3833,9</w:t>
            </w:r>
          </w:p>
        </w:tc>
        <w:tc>
          <w:tcPr>
            <w:tcW w:w="709" w:type="dxa"/>
            <w:vAlign w:val="center"/>
          </w:tcPr>
          <w:p w:rsidR="009B2DF4" w:rsidRPr="00685B13" w:rsidRDefault="0078076F" w:rsidP="002D3004">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78076F">
              <w:rPr>
                <w:sz w:val="16"/>
                <w:szCs w:val="16"/>
              </w:rPr>
              <w:t>459,7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2031,3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650,0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4569,5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w:t>
            </w:r>
            <w:r w:rsidR="0078076F">
              <w:rPr>
                <w:sz w:val="16"/>
                <w:szCs w:val="16"/>
              </w:rPr>
              <w:t>585,8</w:t>
            </w:r>
          </w:p>
        </w:tc>
        <w:tc>
          <w:tcPr>
            <w:tcW w:w="709" w:type="dxa"/>
            <w:vAlign w:val="center"/>
          </w:tcPr>
          <w:p w:rsidR="009B2DF4" w:rsidRPr="00685B13" w:rsidRDefault="0037719F" w:rsidP="007F26B8">
            <w:pPr>
              <w:jc w:val="center"/>
              <w:rPr>
                <w:sz w:val="16"/>
                <w:szCs w:val="16"/>
              </w:rPr>
            </w:pPr>
            <w:r>
              <w:rPr>
                <w:sz w:val="16"/>
                <w:szCs w:val="16"/>
              </w:rPr>
              <w:t>1550,3</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37719F">
              <w:rPr>
                <w:sz w:val="16"/>
                <w:szCs w:val="16"/>
              </w:rPr>
              <w:t>459,7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lastRenderedPageBreak/>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2031,3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37719F" w:rsidP="004F1C39">
            <w:pPr>
              <w:rPr>
                <w:sz w:val="16"/>
                <w:szCs w:val="16"/>
              </w:rPr>
            </w:pPr>
            <w:r>
              <w:rPr>
                <w:sz w:val="16"/>
                <w:szCs w:val="16"/>
              </w:rPr>
              <w:t>6</w:t>
            </w:r>
            <w:r w:rsidR="004F1C39">
              <w:rPr>
                <w:sz w:val="16"/>
                <w:szCs w:val="16"/>
              </w:rPr>
              <w:t>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37719F">
              <w:rPr>
                <w:sz w:val="16"/>
                <w:szCs w:val="16"/>
              </w:rPr>
              <w:t>4569,5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37719F">
              <w:rPr>
                <w:sz w:val="16"/>
                <w:szCs w:val="16"/>
              </w:rPr>
              <w:t>585,8</w:t>
            </w:r>
          </w:p>
        </w:tc>
        <w:tc>
          <w:tcPr>
            <w:tcW w:w="709" w:type="dxa"/>
            <w:vAlign w:val="center"/>
          </w:tcPr>
          <w:p w:rsidR="009B2DF4" w:rsidRPr="00685B13" w:rsidRDefault="0037719F" w:rsidP="00497EFD">
            <w:pPr>
              <w:jc w:val="center"/>
              <w:rPr>
                <w:sz w:val="16"/>
                <w:szCs w:val="16"/>
              </w:rPr>
            </w:pPr>
            <w:r>
              <w:rPr>
                <w:sz w:val="16"/>
                <w:szCs w:val="16"/>
              </w:rPr>
              <w:t>1550,3</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w:t>
            </w:r>
            <w:r w:rsidRPr="00874FEC">
              <w:rPr>
                <w:sz w:val="16"/>
                <w:szCs w:val="16"/>
              </w:rPr>
              <w:lastRenderedPageBreak/>
              <w:t>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703D57" w:rsidP="00FF7B40">
            <w:pPr>
              <w:jc w:val="center"/>
              <w:rPr>
                <w:color w:val="000000"/>
                <w:sz w:val="22"/>
                <w:szCs w:val="22"/>
              </w:rPr>
            </w:pPr>
            <w:r>
              <w:rPr>
                <w:color w:val="000000"/>
                <w:sz w:val="22"/>
                <w:szCs w:val="22"/>
              </w:rPr>
              <w:t>33446,5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03D57" w:rsidP="00FF7B40">
            <w:pPr>
              <w:jc w:val="center"/>
              <w:rPr>
                <w:color w:val="000000"/>
                <w:sz w:val="22"/>
                <w:szCs w:val="22"/>
              </w:rPr>
            </w:pPr>
            <w:r>
              <w:rPr>
                <w:color w:val="000000"/>
                <w:sz w:val="22"/>
                <w:szCs w:val="22"/>
              </w:rPr>
              <w:t>3853,9</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703D57" w:rsidP="00603CFA">
            <w:pPr>
              <w:jc w:val="center"/>
              <w:rPr>
                <w:color w:val="000000"/>
                <w:sz w:val="22"/>
                <w:szCs w:val="22"/>
              </w:rPr>
            </w:pPr>
            <w:r>
              <w:rPr>
                <w:color w:val="000000"/>
                <w:sz w:val="22"/>
                <w:szCs w:val="22"/>
              </w:rPr>
              <w:t>32551,9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03D57" w:rsidP="00FF7B40">
            <w:pPr>
              <w:jc w:val="center"/>
              <w:rPr>
                <w:color w:val="000000"/>
                <w:sz w:val="22"/>
                <w:szCs w:val="22"/>
              </w:rPr>
            </w:pPr>
            <w:r>
              <w:rPr>
                <w:color w:val="000000"/>
                <w:sz w:val="22"/>
                <w:szCs w:val="22"/>
              </w:rPr>
              <w:t>3703,9</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703D57" w:rsidP="00941128">
            <w:pPr>
              <w:jc w:val="center"/>
              <w:rPr>
                <w:sz w:val="22"/>
                <w:szCs w:val="22"/>
              </w:rPr>
            </w:pPr>
            <w:r>
              <w:rPr>
                <w:sz w:val="22"/>
                <w:szCs w:val="22"/>
              </w:rPr>
              <w:t>894,6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703D57" w:rsidP="00941128">
            <w:pPr>
              <w:jc w:val="center"/>
              <w:rPr>
                <w:sz w:val="22"/>
                <w:szCs w:val="22"/>
              </w:rPr>
            </w:pPr>
            <w:r>
              <w:rPr>
                <w:sz w:val="22"/>
                <w:szCs w:val="22"/>
              </w:rPr>
              <w:t>150,0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w:t>
            </w:r>
            <w:r w:rsidR="00703D57">
              <w:rPr>
                <w:sz w:val="22"/>
                <w:szCs w:val="22"/>
              </w:rPr>
              <w:t>3215,1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03D57" w:rsidP="00FF7B40">
            <w:pPr>
              <w:jc w:val="center"/>
              <w:rPr>
                <w:sz w:val="22"/>
                <w:szCs w:val="22"/>
              </w:rPr>
            </w:pPr>
            <w:r>
              <w:rPr>
                <w:sz w:val="22"/>
                <w:szCs w:val="22"/>
              </w:rPr>
              <w:t>3833,9</w:t>
            </w:r>
          </w:p>
        </w:tc>
        <w:tc>
          <w:tcPr>
            <w:tcW w:w="837" w:type="dxa"/>
            <w:vAlign w:val="center"/>
          </w:tcPr>
          <w:p w:rsidR="001F4B85" w:rsidRPr="00685B13" w:rsidRDefault="00F44013" w:rsidP="00FF7B40">
            <w:pPr>
              <w:jc w:val="center"/>
              <w:rPr>
                <w:sz w:val="22"/>
                <w:szCs w:val="22"/>
              </w:rPr>
            </w:pPr>
            <w:r>
              <w:rPr>
                <w:sz w:val="22"/>
                <w:szCs w:val="22"/>
              </w:rPr>
              <w:t>2944,1</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32320,5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F44013" w:rsidP="00FF7B40">
            <w:pPr>
              <w:jc w:val="center"/>
              <w:rPr>
                <w:sz w:val="22"/>
                <w:szCs w:val="22"/>
              </w:rPr>
            </w:pPr>
            <w:r>
              <w:rPr>
                <w:sz w:val="22"/>
                <w:szCs w:val="22"/>
              </w:rPr>
              <w:t>3683,9</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F44013" w:rsidP="00517D6C">
            <w:pPr>
              <w:jc w:val="center"/>
              <w:rPr>
                <w:sz w:val="22"/>
                <w:szCs w:val="22"/>
              </w:rPr>
            </w:pPr>
            <w:r>
              <w:rPr>
                <w:sz w:val="22"/>
                <w:szCs w:val="22"/>
              </w:rPr>
              <w:t>894,6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4013" w:rsidP="00517D6C">
            <w:pPr>
              <w:jc w:val="center"/>
              <w:rPr>
                <w:sz w:val="22"/>
                <w:szCs w:val="22"/>
              </w:rPr>
            </w:pPr>
            <w:r>
              <w:rPr>
                <w:sz w:val="22"/>
                <w:szCs w:val="22"/>
              </w:rPr>
              <w:t>150,0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386" w:rsidRDefault="003B1386">
      <w:r>
        <w:separator/>
      </w:r>
    </w:p>
  </w:endnote>
  <w:endnote w:type="continuationSeparator" w:id="1">
    <w:p w:rsidR="003B1386" w:rsidRDefault="003B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9F" w:rsidRDefault="00896EA2" w:rsidP="00D83559">
    <w:pPr>
      <w:pStyle w:val="a7"/>
      <w:framePr w:wrap="around" w:vAnchor="text" w:hAnchor="margin" w:xAlign="right" w:y="1"/>
      <w:rPr>
        <w:rStyle w:val="ab"/>
      </w:rPr>
    </w:pPr>
    <w:r>
      <w:rPr>
        <w:rStyle w:val="ab"/>
      </w:rPr>
      <w:fldChar w:fldCharType="begin"/>
    </w:r>
    <w:r w:rsidR="0037719F">
      <w:rPr>
        <w:rStyle w:val="ab"/>
      </w:rPr>
      <w:instrText xml:space="preserve">PAGE  </w:instrText>
    </w:r>
    <w:r>
      <w:rPr>
        <w:rStyle w:val="ab"/>
      </w:rPr>
      <w:fldChar w:fldCharType="end"/>
    </w:r>
  </w:p>
  <w:p w:rsidR="0037719F" w:rsidRDefault="003771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9F" w:rsidRDefault="0037719F">
    <w:pPr>
      <w:pStyle w:val="a7"/>
      <w:jc w:val="right"/>
    </w:pPr>
  </w:p>
  <w:p w:rsidR="0037719F" w:rsidRPr="00195FBC" w:rsidRDefault="0037719F"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9F" w:rsidRDefault="00896EA2" w:rsidP="00745ABF">
    <w:pPr>
      <w:pStyle w:val="a7"/>
      <w:framePr w:wrap="around" w:vAnchor="text" w:hAnchor="margin" w:xAlign="right" w:y="1"/>
      <w:rPr>
        <w:rStyle w:val="ab"/>
      </w:rPr>
    </w:pPr>
    <w:r>
      <w:rPr>
        <w:rStyle w:val="ab"/>
      </w:rPr>
      <w:fldChar w:fldCharType="begin"/>
    </w:r>
    <w:r w:rsidR="0037719F">
      <w:rPr>
        <w:rStyle w:val="ab"/>
      </w:rPr>
      <w:instrText xml:space="preserve">PAGE  </w:instrText>
    </w:r>
    <w:r>
      <w:rPr>
        <w:rStyle w:val="ab"/>
      </w:rPr>
      <w:fldChar w:fldCharType="end"/>
    </w:r>
  </w:p>
  <w:p w:rsidR="0037719F" w:rsidRDefault="0037719F">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9F" w:rsidRDefault="0037719F"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386" w:rsidRDefault="003B1386">
      <w:r>
        <w:separator/>
      </w:r>
    </w:p>
  </w:footnote>
  <w:footnote w:type="continuationSeparator" w:id="1">
    <w:p w:rsidR="003B1386" w:rsidRDefault="003B1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1386"/>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20FF"/>
    <w:rsid w:val="004B5BC3"/>
    <w:rsid w:val="004B692F"/>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6EA2"/>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1771"/>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44BC-5053-494B-A26B-B8844438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22</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37</cp:revision>
  <cp:lastPrinted>2023-04-26T07:15:00Z</cp:lastPrinted>
  <dcterms:created xsi:type="dcterms:W3CDTF">2021-12-28T12:08:00Z</dcterms:created>
  <dcterms:modified xsi:type="dcterms:W3CDTF">2023-05-03T12:28:00Z</dcterms:modified>
</cp:coreProperties>
</file>